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488.0" w:type="dxa"/>
        <w:jc w:val="left"/>
        <w:tblInd w:w="105.0" w:type="pct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600"/>
      </w:tblPr>
      <w:tblGrid>
        <w:gridCol w:w="2471.04"/>
        <w:gridCol w:w="2471.04"/>
        <w:gridCol w:w="2545.92"/>
        <w:tblGridChange w:id="0">
          <w:tblGrid>
            <w:gridCol w:w="2471.04"/>
            <w:gridCol w:w="2471.04"/>
            <w:gridCol w:w="2545.92"/>
          </w:tblGrid>
        </w:tblGridChange>
      </w:tblGrid>
      <w:tr>
        <w:tc>
          <w:tcPr>
            <w:gridSpan w:val="3"/>
            <w:shd w:fill="d2e8e8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sz w:val="36"/>
                <w:szCs w:val="36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shd w:fill="auto" w:val="clear"/>
                <w:rtl w:val="0"/>
              </w:rPr>
              <w:t xml:space="preserve">Archive of Practice Guidelines 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shd w:fill="auto" w:val="clear"/>
                <w:rtl w:val="0"/>
              </w:rPr>
              <w:t xml:space="preserve"> ~ Documents all pre-date 2006 CCM Standard of Care </w:t>
            </w:r>
          </w:p>
        </w:tc>
      </w:tr>
      <w:tr>
        <w:tc>
          <w:tcPr>
            <w:shd w:fill="55b0ae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hyperlink w:anchor="3znysh7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Informed Consent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5a70d1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5b0ae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  <w:shd w:fill="auto" w:val="clear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Part Two ~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  <w:shd w:fill="auto" w:val="clear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Technical Bulletins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2e8e8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  <w:shd w:fill="auto" w:val="clear"/>
              </w:rPr>
            </w:pPr>
            <w:hyperlink w:anchor="gjdgxs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8"/>
                  <w:szCs w:val="28"/>
                  <w:u w:val="single"/>
                  <w:shd w:fill="auto" w:val="clear"/>
                  <w:rtl w:val="0"/>
                </w:rPr>
                <w:t xml:space="preserve">Generally-Accepted Practices / </w:t>
              </w:r>
            </w:hyperlink>
            <w:hyperlink w:anchor="gjdgxs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shd w:fill="auto" w:val="clear"/>
                  <w:rtl w:val="0"/>
                </w:rPr>
                <w:t xml:space="preserve">characteristics of clinical competency for professionals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 (part One), including samples of  informed consent for home-based birth services 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&amp; informed decline of standardized maternity care 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  <w:shd w:fill="auto" w:val="clear"/>
                <w:rtl w:val="0"/>
              </w:rPr>
              <w:t xml:space="preserve">most recent edit 1/23/04</w:t>
            </w:r>
          </w:p>
        </w:tc>
      </w:tr>
    </w:tbl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  <w:sz w:val="28"/>
          <w:szCs w:val="28"/>
        </w:rPr>
      </w:pPr>
      <w:hyperlink w:anchor="30j0zll">
        <w:r w:rsidDel="00000000" w:rsidR="00000000" w:rsidRPr="00000000">
          <w:rPr>
            <w:rFonts w:ascii="Tahoma" w:cs="Tahoma" w:eastAsia="Tahoma" w:hAnsi="Tahoma"/>
            <w:b w:val="1"/>
            <w:color w:val="0000ee"/>
            <w:sz w:val="28"/>
            <w:szCs w:val="28"/>
            <w:u w:val="single"/>
            <w:rtl w:val="0"/>
          </w:rPr>
          <w:t xml:space="preserve">Instructions </w:t>
        </w:r>
      </w:hyperlink>
      <w:hyperlink w:anchor="30j0zll">
        <w:r w:rsidDel="00000000" w:rsidR="00000000" w:rsidRPr="00000000">
          <w:rPr>
            <w:rFonts w:ascii="Tahoma" w:cs="Tahoma" w:eastAsia="Tahoma" w:hAnsi="Tahoma"/>
            <w:b w:val="1"/>
            <w:color w:val="0000ee"/>
            <w:u w:val="single"/>
            <w:rtl w:val="0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b w:val="1"/>
          <w:color w:val="000080"/>
          <w:sz w:val="28"/>
          <w:szCs w:val="28"/>
          <w:rtl w:val="0"/>
        </w:rPr>
        <w:t xml:space="preserve">for Review and Feedback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ahoma" w:cs="Tahoma" w:eastAsia="Tahoma" w:hAnsi="Tahoma"/>
          <w:b w:val="1"/>
          <w:color w:val="000080"/>
          <w:sz w:val="24"/>
          <w:szCs w:val="24"/>
          <w:rtl w:val="0"/>
        </w:rPr>
        <w:t xml:space="preserve">Background Information &amp; On-line Resources for the 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sz w:val="24"/>
          <w:szCs w:val="24"/>
          <w:rtl w:val="0"/>
        </w:rPr>
        <w:t xml:space="preserve">"Generally-Accepted Practice / Characteristics of Clinical Competencies",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sz w:val="24"/>
          <w:szCs w:val="24"/>
          <w:rtl w:val="0"/>
        </w:rPr>
        <w:t xml:space="preserve"> included in the hard-copy "Blue Book"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color w:val="000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956.0" w:type="dxa"/>
        <w:jc w:val="left"/>
        <w:tblInd w:w="45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625.48"/>
        <w:gridCol w:w="2625.48"/>
        <w:gridCol w:w="2705.04"/>
        <w:tblGridChange w:id="0">
          <w:tblGrid>
            <w:gridCol w:w="2625.48"/>
            <w:gridCol w:w="2625.48"/>
            <w:gridCol w:w="2705.04"/>
          </w:tblGrid>
        </w:tblGridChange>
      </w:tblGrid>
      <w:tr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</w:rPr>
              <w:drawing>
                <wp:inline distB="19050" distT="19050" distL="19050" distR="19050">
                  <wp:extent cx="0" cy="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  <w:rtl w:val="0"/>
              </w:rPr>
              <w:t xml:space="preserve">Coalition for Improving Maternity Services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"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  <w:rtl w:val="0"/>
              </w:rPr>
              <w:t xml:space="preserve">Consensus Statement"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rtl w:val="0"/>
              </w:rPr>
              <w:t xml:space="preserve">CIMS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Mother-Friendly Childbirth Initiative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 </w:t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</w:rPr>
              <w:drawing>
                <wp:inline distB="19050" distT="19050" distL="19050" distR="19050">
                  <wp:extent cx="0" cy="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Alison Osborn Standards</w:t>
              </w:r>
            </w:hyperlink>
            <w:hyperlink r:id="rId15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,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duties and guidelines of Practice for community-based midwifery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 -- acknowledged by Administrative Law Judge in precedent-setting 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California case</w:t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</w:rPr>
              <w:drawing>
                <wp:inline distB="19050" distT="19050" distL="19050" distR="19050">
                  <wp:extent cx="0" cy="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rtl w:val="0"/>
              </w:rPr>
              <w:t xml:space="preserve">Maternity Center Association "Maternity-Wise" resources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The Rights of Childbearing Women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sz w:val="24"/>
                <w:szCs w:val="24"/>
                <w:rtl w:val="0"/>
              </w:rPr>
              <w:t xml:space="preserve">"</w:t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5.0" w:type="pct"/>
        <w:tblBorders>
          <w:top w:color="0000ff" w:space="0" w:sz="6" w:val="single"/>
          <w:left w:color="0000ff" w:space="0" w:sz="6" w:val="single"/>
          <w:bottom w:color="0000ff" w:space="0" w:sz="6" w:val="single"/>
          <w:right w:color="0000ff" w:space="0" w:sz="6" w:val="single"/>
          <w:insideH w:color="0000ff" w:space="0" w:sz="6" w:val="single"/>
          <w:insideV w:color="0000ff" w:space="0" w:sz="6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d2e8e8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hd w:fill="auto" w:val="clear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0" cy="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ff"/>
                <w:shd w:fill="auto" w:val="clear"/>
                <w:rtl w:val="0"/>
              </w:rPr>
              <w:t xml:space="preserve"> 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ff"/>
                <w:sz w:val="28"/>
                <w:szCs w:val="28"/>
                <w:shd w:fill="auto" w:val="clear"/>
                <w:rtl w:val="0"/>
              </w:rPr>
              <w:t xml:space="preserve">Generally Accepted Practice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ff"/>
                <w:shd w:fill="auto" w:val="clear"/>
                <w:rtl w:val="0"/>
              </w:rPr>
              <w:t xml:space="preserve"> / </w:t>
            </w:r>
            <w:bookmarkStart w:colFirst="0" w:colLast="0" w:name="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80"/>
                <w:sz w:val="28"/>
                <w:szCs w:val="28"/>
                <w:shd w:fill="auto" w:val="clear"/>
                <w:rtl w:val="0"/>
              </w:rPr>
              <w:t xml:space="preserve">characteristics of clinical competency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000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00"/>
                <w:sz w:val="24"/>
                <w:szCs w:val="24"/>
                <w:shd w:fill="auto" w:val="clear"/>
                <w:rtl w:val="0"/>
              </w:rPr>
              <w:t xml:space="preserve">Part One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 ~ Standard of Care Guidelines ~ 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00"/>
                <w:sz w:val="24"/>
                <w:szCs w:val="24"/>
                <w:shd w:fill="auto" w:val="clear"/>
                <w:rtl w:val="0"/>
              </w:rPr>
              <w:t xml:space="preserve"> 1a to 3d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 for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u w:val="single"/>
                <w:shd w:fill="auto" w:val="clear"/>
                <w:rtl w:val="0"/>
              </w:rPr>
              <w:t xml:space="preserve"> review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 by professionals, childbearing women and consumer advocates</w:t>
            </w:r>
          </w:p>
        </w:tc>
      </w:tr>
      <w:tr>
        <w:tc>
          <w:tcPr>
            <w:shd w:fill="418585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ffff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hd w:fill="auto" w:val="clear"/>
                <w:rtl w:val="0"/>
              </w:rPr>
              <w:t xml:space="preserve">2nd Draft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shd w:fill="auto" w:val="clear"/>
                <w:rtl w:val="0"/>
              </w:rPr>
              <w:t xml:space="preserve">,  including samples of  informed consent for 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ffff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shd w:fill="auto" w:val="clear"/>
                <w:rtl w:val="0"/>
              </w:rPr>
              <w:t xml:space="preserve">home-based birth services  &amp; informed 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ffff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shd w:fill="auto" w:val="clear"/>
                <w:rtl w:val="0"/>
              </w:rPr>
              <w:t xml:space="preserve">decline of standardized maternity care  (3a thru 3d) </w:t>
            </w:r>
          </w:p>
        </w:tc>
      </w:tr>
      <w:tr>
        <w:tc>
          <w:tcPr>
            <w:shd w:fill="d2e8e8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bookmarkStart w:colFirst="0" w:colLast="0" w:name="30j0zll" w:id="1"/>
          <w:bookmarkEnd w:id="1"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shd w:fill="auto" w:val="clear"/>
                <w:rtl w:val="0"/>
              </w:rPr>
              <w:t xml:space="preserve">A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shd w:fill="auto" w:val="clear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Letter of explanation for Expert Reviewers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shd w:fill="auto" w:val="clear"/>
                <w:rtl w:val="0"/>
              </w:rPr>
              <w:t xml:space="preserve">B -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4"/>
                <w:szCs w:val="24"/>
                <w:shd w:fill="auto" w:val="clear"/>
                <w:rtl w:val="0"/>
              </w:rPr>
              <w:t xml:space="preserve"> </w:t>
            </w:r>
            <w:hyperlink r:id="rId21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 Specific Instructions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If you are licensed in California, Please read the Expert Reviewer letter and instructions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before reading and commenting on the Characteristics of Competencies below</w:t>
            </w:r>
          </w:p>
        </w:tc>
      </w:tr>
    </w:tbl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8"/>
          <w:szCs w:val="28"/>
          <w:rtl w:val="0"/>
        </w:rPr>
        <w:t xml:space="preserve">Boxed Subdirectories for1a -e, 2a, &amp; 3a - d 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956.000000000002" w:type="dxa"/>
        <w:jc w:val="left"/>
        <w:tblInd w:w="45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599.485148514852"/>
        <w:gridCol w:w="2678.2574257425745"/>
        <w:gridCol w:w="2678.2574257425745"/>
        <w:tblGridChange w:id="0">
          <w:tblGrid>
            <w:gridCol w:w="2599.485148514852"/>
            <w:gridCol w:w="2678.2574257425745"/>
            <w:gridCol w:w="2678.2574257425745"/>
          </w:tblGrid>
        </w:tblGridChange>
      </w:tblGrid>
      <w:tr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1a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  </w:t>
            </w:r>
            <w:hyperlink r:id="rId22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 </w:t>
              </w:r>
            </w:hyperlink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Overview of Foundational Principles,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pertinent  background material from the Maternity Center Association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on the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Rights of Childbearing Women 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and Evidenced-Based Maternity Care</w:t>
            </w:r>
          </w:p>
        </w:tc>
        <w:tc>
          <w:tcPr>
            <w:vMerge w:val="restart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1b College of Midwives' British Columbia Guidelines Continued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9. </w:t>
            </w: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Criteria for Client Selection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and preliminary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Consultation; Indications for Discussion, Consultation and Transfer of Care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during the antepartal, intrapartum / neonatal &amp; postpartum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 </w:t>
            </w:r>
            <w:r w:rsidDel="00000000" w:rsidR="00000000" w:rsidRPr="00000000">
              <w:rPr>
                <w:b w:val="1"/>
              </w:rPr>
              <w:drawing>
                <wp:inline distB="19050" distT="19050" distL="19050" distR="19050">
                  <wp:extent cx="0" cy="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10a. Criteria for </w:t>
            </w: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LMs Attending Special Circumstances Birth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/ Moderate Risk Labor at Home:  10b. </w:t>
            </w: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Parental Waiver for VBAC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1c </w:t>
            </w:r>
            <w:hyperlink r:id="rId28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ff"/>
                  <w:u w:val="single"/>
                  <w:rtl w:val="0"/>
                </w:rPr>
                <w:t xml:space="preserve">Outline of Principles of Mother-Friendly Maternity Care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-- outline contains Legal and Ethical Principles of informed consent/refusal  --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a background document for the "Criteria for Client Selection"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(1b /part 9)</w:t>
            </w:r>
          </w:p>
        </w:tc>
      </w:tr>
      <w:tr>
        <w:tc>
          <w:tcPr>
            <w:vMerge w:val="restart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1b  Guidelines adapted from the College of Midwives of British Columbia, Canada (10-part)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1. </w:t>
            </w: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Midwifery Model of Care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2. </w:t>
            </w:r>
            <w:hyperlink r:id="rId30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Philosophy of Care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3. </w:t>
            </w:r>
            <w:hyperlink r:id="rId31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Standards of Practice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4. </w:t>
            </w:r>
            <w:hyperlink r:id="rId32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Code of Ethics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5. </w:t>
            </w:r>
            <w:hyperlink r:id="rId33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Informed Choice Policy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6. </w:t>
            </w:r>
            <w:hyperlink r:id="rId34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Competencies for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hyperlink r:id="rId35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Licensed Midwives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7. </w:t>
            </w:r>
            <w:hyperlink r:id="rId36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Statement on Home Birth  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with Supportive Citations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rtl w:val="0"/>
              </w:rPr>
              <w:t xml:space="preserve"> 8. </w:t>
            </w:r>
            <w:hyperlink r:id="rId38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Medical Interface &amp; Emergency Transport from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Home to Hospital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1b College of Midwives' British Columbia Guidelines Continued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9. </w:t>
            </w: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Criteria for Client Selection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and preliminary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Consultation; Indications for Discussion, Consultation and Transfer of Care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during the antepartal, intrapartum / neonatal &amp; postpartum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 </w:t>
            </w:r>
            <w:r w:rsidDel="00000000" w:rsidR="00000000" w:rsidRPr="00000000">
              <w:rPr>
                <w:b w:val="1"/>
              </w:rPr>
              <w:drawing>
                <wp:inline distB="19050" distT="19050" distL="19050" distR="19050">
                  <wp:extent cx="0" cy="0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10a. Criteria for </w:t>
            </w:r>
            <w:hyperlink r:id="rId42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LMs Attending Special Circumstances Birth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/ Moderate Risk Labor at Home:  10b. </w:t>
            </w: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Parental Waiver for VBAC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 Rounded" w:cs="Arial Rounded" w:eastAsia="Arial Rounded" w:hAnsi="Arial Rounded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1d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rtl w:val="0"/>
              </w:rPr>
              <w:t xml:space="preserve"> </w:t>
            </w:r>
            <w:hyperlink r:id="rId44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u w:val="single"/>
                  <w:rtl w:val="0"/>
                </w:rPr>
                <w:t xml:space="preserve">Laboratory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rtl w:val="0"/>
              </w:rPr>
              <w:t xml:space="preserve"> and other Screening and  Diagnostic Testing, pre-June 2002 GBS protocol -- (needs to be updated); also former ACOG &amp; Stanford protocols</w:t>
            </w:r>
          </w:p>
        </w:tc>
      </w:tr>
      <w:tr>
        <w:tc>
          <w:tcPr>
            <w:vMerge w:val="continue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1b  Guidelines adapted from the College of Midwives of British Columbia, Canada (10-part)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1.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Midwifery Model of Care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2. </w:t>
            </w:r>
            <w:hyperlink r:id="rId46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Philosophy of Care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3. </w:t>
            </w:r>
            <w:hyperlink r:id="rId47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Standards of Practice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4. </w:t>
            </w:r>
            <w:hyperlink r:id="rId48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Code of Ethics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5. </w:t>
            </w:r>
            <w:hyperlink r:id="rId49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Informed Choice Policy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6. </w:t>
            </w:r>
            <w:hyperlink r:id="rId50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Competencies for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ee"/>
                <w:sz w:val="24"/>
                <w:szCs w:val="24"/>
                <w:u w:val="single"/>
              </w:rPr>
            </w:pPr>
            <w:hyperlink r:id="rId51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Licensed Midwives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7. </w:t>
            </w:r>
            <w:hyperlink r:id="rId52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Statement on Home Birth  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with Supportive Citations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rtl w:val="0"/>
              </w:rPr>
              <w:t xml:space="preserve"> 8. </w:t>
            </w:r>
            <w:hyperlink r:id="rId54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Medical Interface &amp; Emergency Transport from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u w:val="single"/>
              </w:rPr>
            </w:pPr>
            <w:hyperlink r:id="rId55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Home to Hospital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1e 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rtl w:val="0"/>
              </w:rPr>
              <w:t xml:space="preserve"> </w:t>
            </w:r>
            <w:hyperlink r:id="rId56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u w:val="single"/>
                  <w:rtl w:val="0"/>
                </w:rPr>
                <w:t xml:space="preserve">Guideline for Postnatal Management 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00"/>
                <w:rtl w:val="0"/>
              </w:rPr>
              <w:t xml:space="preserve"> f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rtl w:val="0"/>
              </w:rPr>
              <w:t xml:space="preserve">ollowing mild to moderate difficulties during birth at home</w:t>
            </w:r>
          </w:p>
        </w:tc>
      </w:tr>
    </w:tbl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b w:val="1"/>
          <w:color w:val="000080"/>
        </w:rPr>
      </w:pPr>
      <w:r w:rsidDel="00000000" w:rsidR="00000000" w:rsidRPr="00000000">
        <w:rPr>
          <w:rtl w:val="0"/>
        </w:rPr>
      </w:r>
    </w:p>
    <w:bookmarkStart w:colFirst="0" w:colLast="0" w:name="1fob9te" w:id="2"/>
    <w:bookmarkEnd w:id="2"/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b w:val="1"/>
          <w:color w:val="000080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sz w:val="24"/>
          <w:szCs w:val="24"/>
          <w:rtl w:val="0"/>
        </w:rPr>
        <w:t xml:space="preserve">Legal issues 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  </w:t>
      </w:r>
      <w:r w:rsidDel="00000000" w:rsidR="00000000" w:rsidRPr="00000000">
        <w:rPr>
          <w:rFonts w:ascii="Tahoma" w:cs="Tahoma" w:eastAsia="Tahoma" w:hAnsi="Tahoma"/>
          <w:b w:val="1"/>
          <w:color w:val="000080"/>
          <w:rtl w:val="0"/>
        </w:rPr>
        <w:t xml:space="preserve">2a Midwife </w:t>
      </w:r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 </w:t>
      </w:r>
      <w:hyperlink r:id="rId57">
        <w:r w:rsidDel="00000000" w:rsidR="00000000" w:rsidRPr="00000000">
          <w:rPr>
            <w:rFonts w:ascii="Tahoma" w:cs="Tahoma" w:eastAsia="Tahoma" w:hAnsi="Tahoma"/>
            <w:b w:val="1"/>
            <w:color w:val="0000ee"/>
            <w:u w:val="single"/>
            <w:rtl w:val="0"/>
          </w:rPr>
          <w:t xml:space="preserve">Incident Report forms</w:t>
        </w:r>
      </w:hyperlink>
      <w:r w:rsidDel="00000000" w:rsidR="00000000" w:rsidRPr="00000000">
        <w:rPr>
          <w:rFonts w:ascii="Tahoma" w:cs="Tahoma" w:eastAsia="Tahoma" w:hAnsi="Tahoma"/>
          <w:b w:val="1"/>
          <w:color w:val="000000"/>
          <w:rtl w:val="0"/>
        </w:rPr>
        <w:t xml:space="preserve"> f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000080"/>
          <w:rtl w:val="0"/>
        </w:rPr>
        <w:t xml:space="preserve">or the CCM membership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b w:val="1"/>
          <w:color w:val="00008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956.0" w:type="dxa"/>
        <w:jc w:val="left"/>
        <w:tblInd w:w="45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625.48"/>
        <w:gridCol w:w="2625.48"/>
        <w:gridCol w:w="2705.04"/>
        <w:tblGridChange w:id="0">
          <w:tblGrid>
            <w:gridCol w:w="2625.48"/>
            <w:gridCol w:w="2625.48"/>
            <w:gridCol w:w="2705.04"/>
          </w:tblGrid>
        </w:tblGridChange>
      </w:tblGrid>
      <w:tr>
        <w:tc>
          <w:tcPr>
            <w:gridSpan w:val="3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bookmarkStart w:colFirst="0" w:colLast="0" w:name="3znysh7" w:id="3"/>
          <w:bookmarkEnd w:id="3"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rtl w:val="0"/>
              </w:rPr>
              <w:t xml:space="preserve">Informed Consent 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rtl w:val="0"/>
              </w:rPr>
              <w:t xml:space="preserve"> / Special Circumstance Decline  </w:t>
            </w:r>
          </w:p>
        </w:tc>
      </w:tr>
      <w:tr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3a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80"/>
                <w:rtl w:val="0"/>
              </w:rPr>
              <w:t xml:space="preserve"> </w:t>
            </w:r>
            <w:hyperlink r:id="rId58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Informed Consent 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ffff80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00"/>
                <w:rtl w:val="0"/>
              </w:rPr>
              <w:t xml:space="preserve">f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rtl w:val="0"/>
              </w:rPr>
              <w:t xml:space="preserve">or Home Labor and Birth</w:t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3b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ff"/>
                <w:rtl w:val="0"/>
              </w:rPr>
              <w:t xml:space="preserve"> </w:t>
            </w:r>
            <w:hyperlink r:id="rId59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u w:val="single"/>
                  <w:rtl w:val="0"/>
                </w:rPr>
                <w:t xml:space="preserve">Informed Refusal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rtl w:val="0"/>
              </w:rPr>
              <w:t xml:space="preserve"> of Standardized Care &amp;/or Mfry/Mx protocols - Home-based Birth Services</w:t>
            </w:r>
          </w:p>
        </w:tc>
        <w:tc>
          <w:tcPr>
            <w:vMerge w:val="restart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2585.04" w:type="dxa"/>
              <w:jc w:val="left"/>
              <w:tblBorders>
                <w:top w:color="ffb895" w:space="0" w:sz="6" w:val="single"/>
                <w:left w:color="ffb895" w:space="0" w:sz="6" w:val="single"/>
                <w:bottom w:color="ffb895" w:space="0" w:sz="6" w:val="single"/>
                <w:right w:color="ffb895" w:space="0" w:sz="6" w:val="single"/>
                <w:insideH w:color="ffb895" w:space="0" w:sz="6" w:val="single"/>
                <w:insideV w:color="ffb895" w:space="0" w:sz="6" w:val="single"/>
              </w:tblBorders>
              <w:tblLayout w:type="fixed"/>
              <w:tblLook w:val="0600"/>
            </w:tblPr>
            <w:tblGrid>
              <w:gridCol w:w="1292.52"/>
              <w:gridCol w:w="1292.52"/>
              <w:tblGridChange w:id="0">
                <w:tblGrid>
                  <w:gridCol w:w="1292.52"/>
                  <w:gridCol w:w="1292.52"/>
                </w:tblGrid>
              </w:tblGridChange>
            </w:tblGrid>
            <w:tr>
              <w:tc>
                <w:tcPr>
                  <w:vMerge w:val="restart"/>
                  <w:shd w:fill="ffb895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Arial Rounded" w:cs="Arial Rounded" w:eastAsia="Arial Rounded" w:hAnsi="Arial Rounded"/>
                      <w:b w:val="1"/>
                      <w:color w:val="000080"/>
                    </w:rPr>
                  </w:pPr>
                  <w:r w:rsidDel="00000000" w:rsidR="00000000" w:rsidRPr="00000000">
                    <w:rPr>
                      <w:rFonts w:ascii="Arial Rounded" w:cs="Arial Rounded" w:eastAsia="Arial Rounded" w:hAnsi="Arial Rounded"/>
                      <w:b w:val="1"/>
                      <w:color w:val="000080"/>
                    </w:rPr>
                    <w:drawing>
                      <wp:inline distB="19050" distT="19050" distL="19050" distR="19050">
                        <wp:extent cx="0" cy="0"/>
                        <wp:effectExtent b="0" l="0" r="0" t="0"/>
                        <wp:docPr id="10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6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2e8e8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hyperlink r:id="rId61">
                    <w:r w:rsidDel="00000000" w:rsidR="00000000" w:rsidRPr="00000000">
                      <w:rPr>
                        <w:rFonts w:ascii="Tahoma" w:cs="Tahoma" w:eastAsia="Tahoma" w:hAnsi="Tahoma"/>
                        <w:b w:val="1"/>
                        <w:color w:val="0000ee"/>
                        <w:sz w:val="28"/>
                        <w:szCs w:val="28"/>
                        <w:u w:val="single"/>
                        <w:shd w:fill="auto" w:val="clear"/>
                        <w:rtl w:val="0"/>
                      </w:rPr>
                      <w:t xml:space="preserve">VBAC 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Merge w:val="continue"/>
                  <w:shd w:fill="ffb895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  <w:drawing>
                      <wp:inline distB="19050" distT="19050" distL="19050" distR="19050">
                        <wp:extent cx="0" cy="0"/>
                        <wp:effectExtent b="0" l="0" r="0" t="0"/>
                        <wp:docPr id="11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6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2e8e8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hyperlink r:id="rId63">
                    <w:r w:rsidDel="00000000" w:rsidR="00000000" w:rsidRPr="00000000">
                      <w:rPr>
                        <w:rFonts w:ascii="Tahoma" w:cs="Tahoma" w:eastAsia="Tahoma" w:hAnsi="Tahoma"/>
                        <w:b w:val="1"/>
                        <w:color w:val="0000ee"/>
                        <w:sz w:val="28"/>
                        <w:szCs w:val="28"/>
                        <w:u w:val="single"/>
                        <w:shd w:fill="auto" w:val="clear"/>
                        <w:rtl w:val="0"/>
                      </w:rPr>
                      <w:t xml:space="preserve">Twins 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Merge w:val="continue"/>
                  <w:shd w:fill="ffb895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  <w:drawing>
                      <wp:inline distB="19050" distT="19050" distL="19050" distR="19050">
                        <wp:extent cx="0" cy="0"/>
                        <wp:effectExtent b="0" l="0" r="0" t="0"/>
                        <wp:docPr id="13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6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2e8e8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hyperlink r:id="rId65">
                    <w:r w:rsidDel="00000000" w:rsidR="00000000" w:rsidRPr="00000000">
                      <w:rPr>
                        <w:rFonts w:ascii="Tahoma" w:cs="Tahoma" w:eastAsia="Tahoma" w:hAnsi="Tahoma"/>
                        <w:b w:val="1"/>
                        <w:color w:val="0000ee"/>
                        <w:sz w:val="28"/>
                        <w:szCs w:val="28"/>
                        <w:u w:val="single"/>
                        <w:shd w:fill="auto" w:val="clear"/>
                        <w:rtl w:val="0"/>
                      </w:rPr>
                      <w:t xml:space="preserve">Macrosomia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3d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  </w:t>
            </w:r>
            <w:hyperlink r:id="rId66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Samples of Special Circumstance Informed Consent 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ee"/>
                <w:u w:val="single"/>
              </w:rPr>
              <w:drawing>
                <wp:inline distB="19050" distT="19050" distL="19050" distR="19050">
                  <wp:extent cx="0" cy="0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3c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  <w:rtl w:val="0"/>
              </w:rPr>
              <w:t xml:space="preserve"> </w:t>
            </w:r>
            <w:hyperlink r:id="rId68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rtl w:val="0"/>
                </w:rPr>
                <w:t xml:space="preserve">Group B Streptococcal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80"/>
                <w:sz w:val="24"/>
                <w:szCs w:val="24"/>
                <w:rtl w:val="0"/>
              </w:rPr>
              <w:t xml:space="preserve"> Infections ~ Client Information and Consent Form   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00"/>
                <w:sz w:val="24"/>
                <w:szCs w:val="24"/>
                <w:rtl w:val="0"/>
              </w:rPr>
              <w:t xml:space="preserve">    (to be replaced on Feb 03)</w:t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vMerge w:val="continue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2585.04" w:type="dxa"/>
              <w:jc w:val="left"/>
              <w:tblBorders>
                <w:top w:color="ffb895" w:space="0" w:sz="6" w:val="single"/>
                <w:left w:color="ffb895" w:space="0" w:sz="6" w:val="single"/>
                <w:bottom w:color="ffb895" w:space="0" w:sz="6" w:val="single"/>
                <w:right w:color="ffb895" w:space="0" w:sz="6" w:val="single"/>
                <w:insideH w:color="ffb895" w:space="0" w:sz="6" w:val="single"/>
                <w:insideV w:color="ffb895" w:space="0" w:sz="6" w:val="single"/>
              </w:tblBorders>
              <w:tblLayout w:type="fixed"/>
              <w:tblLook w:val="0600"/>
            </w:tblPr>
            <w:tblGrid>
              <w:gridCol w:w="1292.52"/>
              <w:gridCol w:w="1292.52"/>
              <w:tblGridChange w:id="0">
                <w:tblGrid>
                  <w:gridCol w:w="1292.52"/>
                  <w:gridCol w:w="1292.52"/>
                </w:tblGrid>
              </w:tblGridChange>
            </w:tblGrid>
            <w:tr>
              <w:tc>
                <w:tcPr>
                  <w:vMerge w:val="restart"/>
                  <w:shd w:fill="ffb895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0" cy="0"/>
                        <wp:effectExtent b="0" l="0" r="0" t="0"/>
                        <wp:docPr id="15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6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2e8e8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hyperlink r:id="rId70">
                    <w:r w:rsidDel="00000000" w:rsidR="00000000" w:rsidRPr="00000000">
                      <w:rPr>
                        <w:rFonts w:ascii="Tahoma" w:cs="Tahoma" w:eastAsia="Tahoma" w:hAnsi="Tahoma"/>
                        <w:b w:val="1"/>
                        <w:color w:val="0000ee"/>
                        <w:sz w:val="28"/>
                        <w:szCs w:val="28"/>
                        <w:u w:val="single"/>
                        <w:shd w:fill="auto" w:val="clear"/>
                        <w:rtl w:val="0"/>
                      </w:rPr>
                      <w:t xml:space="preserve">VBAC 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Merge w:val="continue"/>
                  <w:shd w:fill="ffb895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6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  <w:drawing>
                      <wp:inline distB="19050" distT="19050" distL="19050" distR="19050">
                        <wp:extent cx="0" cy="0"/>
                        <wp:effectExtent b="0" l="0" r="0" t="0"/>
                        <wp:docPr id="16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7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2e8e8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7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hyperlink r:id="rId72">
                    <w:r w:rsidDel="00000000" w:rsidR="00000000" w:rsidRPr="00000000">
                      <w:rPr>
                        <w:rFonts w:ascii="Tahoma" w:cs="Tahoma" w:eastAsia="Tahoma" w:hAnsi="Tahoma"/>
                        <w:b w:val="1"/>
                        <w:color w:val="0000ee"/>
                        <w:sz w:val="28"/>
                        <w:szCs w:val="28"/>
                        <w:u w:val="single"/>
                        <w:shd w:fill="auto" w:val="clear"/>
                        <w:rtl w:val="0"/>
                      </w:rPr>
                      <w:t xml:space="preserve">Twins 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Merge w:val="continue"/>
                  <w:shd w:fill="ffb895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7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  <w:drawing>
                      <wp:inline distB="19050" distT="19050" distL="19050" distR="19050">
                        <wp:extent cx="0" cy="0"/>
                        <wp:effectExtent b="0" l="0" r="0" t="0"/>
                        <wp:docPr id="17" name="image1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7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2e8e8" w:val="clear"/>
                  <w:tcMar>
                    <w:top w:w="105.0" w:type="dxa"/>
                    <w:left w:w="105.0" w:type="dxa"/>
                    <w:bottom w:w="105.0" w:type="dxa"/>
                    <w:right w:w="105.0" w:type="dxa"/>
                  </w:tcMar>
                  <w:vAlign w:val="top"/>
                </w:tcPr>
                <w:p w:rsidR="00000000" w:rsidDel="00000000" w:rsidP="00000000" w:rsidRDefault="00000000" w:rsidRPr="00000000" w14:paraId="0000007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ahoma" w:cs="Tahoma" w:eastAsia="Tahoma" w:hAnsi="Tahoma"/>
                      <w:b w:val="1"/>
                      <w:color w:val="0000ee"/>
                      <w:sz w:val="28"/>
                      <w:szCs w:val="28"/>
                      <w:u w:val="single"/>
                      <w:shd w:fill="auto" w:val="clear"/>
                    </w:rPr>
                  </w:pPr>
                  <w:hyperlink r:id="rId74">
                    <w:r w:rsidDel="00000000" w:rsidR="00000000" w:rsidRPr="00000000">
                      <w:rPr>
                        <w:rFonts w:ascii="Tahoma" w:cs="Tahoma" w:eastAsia="Tahoma" w:hAnsi="Tahoma"/>
                        <w:b w:val="1"/>
                        <w:color w:val="0000ee"/>
                        <w:sz w:val="28"/>
                        <w:szCs w:val="28"/>
                        <w:u w:val="single"/>
                        <w:shd w:fill="auto" w:val="clear"/>
                        <w:rtl w:val="0"/>
                      </w:rPr>
                      <w:t xml:space="preserve">Macrosomia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3d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  </w:t>
            </w:r>
            <w:hyperlink r:id="rId75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u w:val="single"/>
                  <w:rtl w:val="0"/>
                </w:rPr>
                <w:t xml:space="preserve">Samples of Special Circumstance Informed Consent 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auto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6600"/>
                <w:rtl w:val="0"/>
              </w:rPr>
              <w:t xml:space="preserve">Please Note: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These are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u w:val="single"/>
                <w:rtl w:val="0"/>
              </w:rPr>
              <w:t xml:space="preserve"> only SAMPLES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 of consent forms used by others and not meant to be used in their current form. Midwives are encouraged to utilize those aspects of the legal theory </w:t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and specific language appropriate to the individual circumstances of the pregnancy, 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rtl w:val="0"/>
              </w:rPr>
              <w:t xml:space="preserve">parents and modified to be consistent with any pertinent state laws.  </w:t>
            </w:r>
          </w:p>
        </w:tc>
      </w:tr>
    </w:tbl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ee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sz w:val="24"/>
          <w:szCs w:val="24"/>
          <w:rtl w:val="0"/>
        </w:rPr>
        <w:t xml:space="preserve">Part Two -- </w:t>
      </w:r>
      <w:hyperlink r:id="rId76">
        <w:r w:rsidDel="00000000" w:rsidR="00000000" w:rsidRPr="00000000">
          <w:rPr>
            <w:rFonts w:ascii="Tahoma" w:cs="Tahoma" w:eastAsia="Tahoma" w:hAnsi="Tahoma"/>
            <w:b w:val="1"/>
            <w:color w:val="0000ee"/>
            <w:sz w:val="24"/>
            <w:szCs w:val="24"/>
            <w:u w:val="single"/>
            <w:rtl w:val="0"/>
          </w:rPr>
          <w:t xml:space="preserve">Technical Bulletins, </w:t>
        </w:r>
      </w:hyperlink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hyperlink r:id="rId77">
        <w:r w:rsidDel="00000000" w:rsidR="00000000" w:rsidRPr="00000000">
          <w:rPr>
            <w:rFonts w:ascii="Tahoma" w:cs="Tahoma" w:eastAsia="Tahoma" w:hAnsi="Tahoma"/>
            <w:b w:val="1"/>
            <w:color w:val="0000ff"/>
            <w:sz w:val="24"/>
            <w:szCs w:val="24"/>
            <w:u w:val="single"/>
            <w:rtl w:val="0"/>
          </w:rPr>
          <w:t xml:space="preserve"> Risk Reduction</w:t>
        </w:r>
      </w:hyperlink>
      <w:hyperlink r:id="rId78">
        <w:r w:rsidDel="00000000" w:rsidR="00000000" w:rsidRPr="00000000">
          <w:rPr>
            <w:rFonts w:ascii="Tahoma" w:cs="Tahoma" w:eastAsia="Tahoma" w:hAnsi="Tahoma"/>
            <w:b w:val="1"/>
            <w:color w:val="0000ee"/>
            <w:sz w:val="24"/>
            <w:szCs w:val="24"/>
            <w:u w:val="single"/>
            <w:rtl w:val="0"/>
          </w:rPr>
          <w:t xml:space="preserve"> 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a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a0"/>
          <w:sz w:val="24"/>
          <w:szCs w:val="24"/>
          <w:rtl w:val="0"/>
        </w:rPr>
        <w:t xml:space="preserve"> And Clinical Practice Recommendations, Peer-Reviewed journal Articles of Note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ee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 </w:t>
      </w:r>
      <w:hyperlink r:id="rId79">
        <w:r w:rsidDel="00000000" w:rsidR="00000000" w:rsidRPr="00000000">
          <w:rPr>
            <w:rFonts w:ascii="Tahoma" w:cs="Tahoma" w:eastAsia="Tahoma" w:hAnsi="Tahoma"/>
            <w:b w:val="1"/>
            <w:color w:val="0000ee"/>
            <w:u w:val="single"/>
            <w:rtl w:val="0"/>
          </w:rPr>
          <w:t xml:space="preserve">College of Midwives.org Home Page</w:t>
        </w:r>
      </w:hyperlink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Rounded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docs.google.com/prac_issues01/GAP_Selection_Clients_list_print_2004.htm" TargetMode="External"/><Relationship Id="rId42" Type="http://schemas.openxmlformats.org/officeDocument/2006/relationships/hyperlink" Target="http://docs.google.com/prac_issues01/AOL_Judge_OsbornCase%20ModRisk03.htm" TargetMode="External"/><Relationship Id="rId41" Type="http://schemas.openxmlformats.org/officeDocument/2006/relationships/image" Target="media/image12.png"/><Relationship Id="rId44" Type="http://schemas.openxmlformats.org/officeDocument/2006/relationships/hyperlink" Target="http://docs.google.com/prac_issues01/labsgbs.htm" TargetMode="External"/><Relationship Id="rId43" Type="http://schemas.openxmlformats.org/officeDocument/2006/relationships/hyperlink" Target="http://docs.google.com/prac_issues01/VBAC_waiver_2003.htm" TargetMode="External"/><Relationship Id="rId46" Type="http://schemas.openxmlformats.org/officeDocument/2006/relationships/hyperlink" Target="http://docs.google.com/prac_issues01/philosophy99a.htm" TargetMode="External"/><Relationship Id="rId45" Type="http://schemas.openxmlformats.org/officeDocument/2006/relationships/hyperlink" Target="http://docs.google.com/prac_issues01/MMC%20bc99a.h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docs.google.com/clinical_comp_tech%20bulletins_02.htm" TargetMode="External"/><Relationship Id="rId48" Type="http://schemas.openxmlformats.org/officeDocument/2006/relationships/hyperlink" Target="http://docs.google.com/prac_issues01/ethics99a.htm" TargetMode="External"/><Relationship Id="rId47" Type="http://schemas.openxmlformats.org/officeDocument/2006/relationships/hyperlink" Target="http://docs.google.com/prac_issues01/standards%20BC.htm" TargetMode="External"/><Relationship Id="rId49" Type="http://schemas.openxmlformats.org/officeDocument/2006/relationships/hyperlink" Target="http://docs.google.com/prac_issues01/informedchoice.ht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73" Type="http://schemas.openxmlformats.org/officeDocument/2006/relationships/image" Target="media/image17.png"/><Relationship Id="rId72" Type="http://schemas.openxmlformats.org/officeDocument/2006/relationships/hyperlink" Target="http://docs.google.com/prac_issues01/twins.htm" TargetMode="External"/><Relationship Id="rId31" Type="http://schemas.openxmlformats.org/officeDocument/2006/relationships/hyperlink" Target="http://docs.google.com/prac_issues01/standards%20BC.htm" TargetMode="External"/><Relationship Id="rId75" Type="http://schemas.openxmlformats.org/officeDocument/2006/relationships/hyperlink" Target="http://docs.google.com/prac_issues01/specialc.htm" TargetMode="External"/><Relationship Id="rId30" Type="http://schemas.openxmlformats.org/officeDocument/2006/relationships/hyperlink" Target="http://docs.google.com/prac_issues01/philosophy99a.htm" TargetMode="External"/><Relationship Id="rId74" Type="http://schemas.openxmlformats.org/officeDocument/2006/relationships/hyperlink" Target="http://docs.google.com/prac_issues01/macrosom.htm" TargetMode="External"/><Relationship Id="rId33" Type="http://schemas.openxmlformats.org/officeDocument/2006/relationships/hyperlink" Target="http://docs.google.com/prac_issues01/informedchoice.htm" TargetMode="External"/><Relationship Id="rId77" Type="http://schemas.openxmlformats.org/officeDocument/2006/relationships/hyperlink" Target="http://docs.google.com/clinical_comp_tech%20bulletins_02.htm" TargetMode="External"/><Relationship Id="rId32" Type="http://schemas.openxmlformats.org/officeDocument/2006/relationships/hyperlink" Target="http://docs.google.com/prac_issues01/ethics99a.htm" TargetMode="External"/><Relationship Id="rId76" Type="http://schemas.openxmlformats.org/officeDocument/2006/relationships/hyperlink" Target="http://docs.google.com/clinical_comp_tech%20bulletins_02.htm" TargetMode="External"/><Relationship Id="rId35" Type="http://schemas.openxmlformats.org/officeDocument/2006/relationships/hyperlink" Target="http://docs.google.com/prac_issues01/competency99a.htm" TargetMode="External"/><Relationship Id="rId79" Type="http://schemas.openxmlformats.org/officeDocument/2006/relationships/hyperlink" Target="http://docs.google.com/index.html" TargetMode="External"/><Relationship Id="rId34" Type="http://schemas.openxmlformats.org/officeDocument/2006/relationships/hyperlink" Target="http://docs.google.com/prac_issues01/competency99a.htm" TargetMode="External"/><Relationship Id="rId78" Type="http://schemas.openxmlformats.org/officeDocument/2006/relationships/hyperlink" Target="http://docs.google.com/clinical_comp_tech%20bulletins_02.htm" TargetMode="External"/><Relationship Id="rId71" Type="http://schemas.openxmlformats.org/officeDocument/2006/relationships/image" Target="media/image16.png"/><Relationship Id="rId70" Type="http://schemas.openxmlformats.org/officeDocument/2006/relationships/hyperlink" Target="http://docs.google.com/prac_issues01/vbac1.htm" TargetMode="External"/><Relationship Id="rId37" Type="http://schemas.openxmlformats.org/officeDocument/2006/relationships/hyperlink" Target="http://docs.google.com/prac_issues01/homebrthstate.htm" TargetMode="External"/><Relationship Id="rId36" Type="http://schemas.openxmlformats.org/officeDocument/2006/relationships/hyperlink" Target="http://docs.google.com/prac_issues01/homebrthstate.htm" TargetMode="External"/><Relationship Id="rId39" Type="http://schemas.openxmlformats.org/officeDocument/2006/relationships/hyperlink" Target="http://docs.google.com/BC_HospTrans01.htm" TargetMode="External"/><Relationship Id="rId38" Type="http://schemas.openxmlformats.org/officeDocument/2006/relationships/hyperlink" Target="http://docs.google.com/BC_HospTrans01.htm" TargetMode="External"/><Relationship Id="rId62" Type="http://schemas.openxmlformats.org/officeDocument/2006/relationships/image" Target="media/image11.png"/><Relationship Id="rId61" Type="http://schemas.openxmlformats.org/officeDocument/2006/relationships/hyperlink" Target="http://docs.google.com/prac_issues01/vbac1.htm" TargetMode="External"/><Relationship Id="rId20" Type="http://schemas.openxmlformats.org/officeDocument/2006/relationships/hyperlink" Target="http://docs.google.com/prac_issues01/lttr_Advise_ccc99.htm" TargetMode="External"/><Relationship Id="rId64" Type="http://schemas.openxmlformats.org/officeDocument/2006/relationships/image" Target="media/image13.png"/><Relationship Id="rId63" Type="http://schemas.openxmlformats.org/officeDocument/2006/relationships/hyperlink" Target="http://docs.google.com/prac_issues01/twins.htm" TargetMode="External"/><Relationship Id="rId22" Type="http://schemas.openxmlformats.org/officeDocument/2006/relationships/hyperlink" Target="http://docs.google.com/CharClinicalComp%2001.htm" TargetMode="External"/><Relationship Id="rId66" Type="http://schemas.openxmlformats.org/officeDocument/2006/relationships/hyperlink" Target="http://docs.google.com/prac_issues01/specialc.htm" TargetMode="External"/><Relationship Id="rId21" Type="http://schemas.openxmlformats.org/officeDocument/2006/relationships/hyperlink" Target="http://docs.google.com/prac_issues01/lttr_instruction_ccc_99.htm" TargetMode="External"/><Relationship Id="rId65" Type="http://schemas.openxmlformats.org/officeDocument/2006/relationships/hyperlink" Target="http://docs.google.com/prac_issues01/macrosom.htm" TargetMode="External"/><Relationship Id="rId24" Type="http://schemas.openxmlformats.org/officeDocument/2006/relationships/hyperlink" Target="http://docs.google.com/prac_issues01/GAP_Selection_Clients_list_print_2004.htm" TargetMode="External"/><Relationship Id="rId68" Type="http://schemas.openxmlformats.org/officeDocument/2006/relationships/hyperlink" Target="http://docs.google.com/prac_issues01/client_info_gbs99a.htm" TargetMode="External"/><Relationship Id="rId23" Type="http://schemas.openxmlformats.org/officeDocument/2006/relationships/hyperlink" Target="http://docs.google.com/prac_issues01/GAP_Intro_print04.htm" TargetMode="External"/><Relationship Id="rId67" Type="http://schemas.openxmlformats.org/officeDocument/2006/relationships/image" Target="media/image14.png"/><Relationship Id="rId60" Type="http://schemas.openxmlformats.org/officeDocument/2006/relationships/image" Target="media/image10.png"/><Relationship Id="rId26" Type="http://schemas.openxmlformats.org/officeDocument/2006/relationships/hyperlink" Target="http://docs.google.com/prac_issues01/AOL_Judge_OsbornCase%20ModRisk03.htm" TargetMode="External"/><Relationship Id="rId25" Type="http://schemas.openxmlformats.org/officeDocument/2006/relationships/image" Target="media/image8.png"/><Relationship Id="rId69" Type="http://schemas.openxmlformats.org/officeDocument/2006/relationships/image" Target="media/image15.png"/><Relationship Id="rId28" Type="http://schemas.openxmlformats.org/officeDocument/2006/relationships/hyperlink" Target="http://docs.google.com/prac_issues01/clincompart1b99.htm" TargetMode="External"/><Relationship Id="rId27" Type="http://schemas.openxmlformats.org/officeDocument/2006/relationships/hyperlink" Target="http://docs.google.com/prac_issues01/VBAC_waiver_2003.htm" TargetMode="External"/><Relationship Id="rId29" Type="http://schemas.openxmlformats.org/officeDocument/2006/relationships/hyperlink" Target="http://docs.google.com/prac_issues01/MMC%20bc99a.htm" TargetMode="External"/><Relationship Id="rId51" Type="http://schemas.openxmlformats.org/officeDocument/2006/relationships/hyperlink" Target="http://docs.google.com/prac_issues01/competency99a.htm" TargetMode="External"/><Relationship Id="rId50" Type="http://schemas.openxmlformats.org/officeDocument/2006/relationships/hyperlink" Target="http://docs.google.com/prac_issues01/competency99a.htm" TargetMode="External"/><Relationship Id="rId53" Type="http://schemas.openxmlformats.org/officeDocument/2006/relationships/hyperlink" Target="http://docs.google.com/prac_issues01/homebrthstate.htm" TargetMode="External"/><Relationship Id="rId52" Type="http://schemas.openxmlformats.org/officeDocument/2006/relationships/hyperlink" Target="http://docs.google.com/prac_issues01/homebrthstate.htm" TargetMode="External"/><Relationship Id="rId11" Type="http://schemas.openxmlformats.org/officeDocument/2006/relationships/image" Target="media/image5.png"/><Relationship Id="rId55" Type="http://schemas.openxmlformats.org/officeDocument/2006/relationships/hyperlink" Target="http://docs.google.com/BC_HospTrans01.htm" TargetMode="External"/><Relationship Id="rId10" Type="http://schemas.openxmlformats.org/officeDocument/2006/relationships/hyperlink" Target="http://docs.google.com/clinical_comp_tech%20bulletins_02.htm" TargetMode="External"/><Relationship Id="rId54" Type="http://schemas.openxmlformats.org/officeDocument/2006/relationships/hyperlink" Target="http://docs.google.com/BC_HospTrans01.htm" TargetMode="External"/><Relationship Id="rId13" Type="http://schemas.openxmlformats.org/officeDocument/2006/relationships/image" Target="media/image4.png"/><Relationship Id="rId57" Type="http://schemas.openxmlformats.org/officeDocument/2006/relationships/hyperlink" Target="http://docs.google.com/prac_issues01/incidentreport.htm" TargetMode="External"/><Relationship Id="rId12" Type="http://schemas.openxmlformats.org/officeDocument/2006/relationships/hyperlink" Target="http://www.healthy.net/cims" TargetMode="External"/><Relationship Id="rId56" Type="http://schemas.openxmlformats.org/officeDocument/2006/relationships/hyperlink" Target="http://docs.google.com/prac_issues01/cccneonate00a.htm" TargetMode="External"/><Relationship Id="rId15" Type="http://schemas.openxmlformats.org/officeDocument/2006/relationships/hyperlink" Target="http://docs.google.com/prac_issues01/alisonguide00a.htm" TargetMode="External"/><Relationship Id="rId59" Type="http://schemas.openxmlformats.org/officeDocument/2006/relationships/hyperlink" Target="http://docs.google.com/prac_issues01/informedDecline01a.htm" TargetMode="External"/><Relationship Id="rId14" Type="http://schemas.openxmlformats.org/officeDocument/2006/relationships/hyperlink" Target="http://docs.google.com/prac_issues01/alisonguide00a.htm" TargetMode="External"/><Relationship Id="rId58" Type="http://schemas.openxmlformats.org/officeDocument/2006/relationships/hyperlink" Target="http://docs.google.com/prac_issues01/informconsent99a.htm" TargetMode="External"/><Relationship Id="rId17" Type="http://schemas.openxmlformats.org/officeDocument/2006/relationships/hyperlink" Target="http://www.maternitywise.org/mw/rights.html" TargetMode="External"/><Relationship Id="rId16" Type="http://schemas.openxmlformats.org/officeDocument/2006/relationships/image" Target="media/image7.png"/><Relationship Id="rId19" Type="http://schemas.openxmlformats.org/officeDocument/2006/relationships/image" Target="media/image9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