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24.0" w:type="dxa"/>
        <w:jc w:val="left"/>
        <w:tblInd w:w="75.0" w:type="pct"/>
        <w:tblBorders>
          <w:top w:color="7d7dff" w:space="0" w:sz="6" w:val="single"/>
          <w:left w:color="7d7dff" w:space="0" w:sz="6" w:val="single"/>
          <w:bottom w:color="7d7dff" w:space="0" w:sz="6" w:val="single"/>
          <w:right w:color="7d7dff" w:space="0" w:sz="6" w:val="single"/>
          <w:insideH w:color="7d7dff" w:space="0" w:sz="6" w:val="single"/>
          <w:insideV w:color="7d7dff" w:space="0" w:sz="6" w:val="single"/>
        </w:tblBorders>
        <w:tblLayout w:type="fixed"/>
        <w:tblLook w:val="0600"/>
      </w:tblPr>
      <w:tblGrid>
        <w:gridCol w:w="2752.39603960396"/>
        <w:gridCol w:w="2835.80198019802"/>
        <w:gridCol w:w="2835.80198019802"/>
        <w:tblGridChange w:id="0">
          <w:tblGrid>
            <w:gridCol w:w="2752.39603960396"/>
            <w:gridCol w:w="2835.80198019802"/>
            <w:gridCol w:w="2835.80198019802"/>
          </w:tblGrid>
        </w:tblGridChange>
      </w:tblGrid>
      <w:tr>
        <w:tc>
          <w:tcPr>
            <w:gridSpan w:val="3"/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0" cy="0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 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8"/>
                <w:szCs w:val="28"/>
                <w:rtl w:val="0"/>
              </w:rPr>
              <w:t xml:space="preserve">California College of Midwives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</w:rPr>
              <w:drawing>
                <wp:inline distB="19050" distT="19050" distL="19050" distR="19050">
                  <wp:extent cx="0" cy="0"/>
                  <wp:effectExtent b="0" l="0" r="0" t="0"/>
                  <wp:docPr id="1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80"/>
                <w:sz w:val="28"/>
                <w:szCs w:val="28"/>
                <w:rtl w:val="0"/>
              </w:rPr>
              <w:t xml:space="preserve">~ State Chapter, ACCM ~</w:t>
            </w:r>
          </w:p>
        </w:tc>
      </w:tr>
      <w:t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80"/>
                <w:sz w:val="28"/>
                <w:szCs w:val="28"/>
                <w:rtl w:val="0"/>
              </w:rPr>
              <w:t xml:space="preserve">Meeting February 2002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ee"/>
                <w:sz w:val="28"/>
                <w:szCs w:val="28"/>
                <w:u w:val="single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sz w:val="28"/>
                  <w:szCs w:val="28"/>
                  <w:u w:val="single"/>
                  <w:rtl w:val="0"/>
                </w:rPr>
                <w:t xml:space="preserve">Medical Board of California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ee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ee"/>
                <w:sz w:val="28"/>
                <w:szCs w:val="28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MBC Correspondence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 &amp; Reports on Board Meeting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 for 2003 and 2004 &amp;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Regulatory Hearing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 for SB 1950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ee"/>
                <w:u w:val="single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u w:val="single"/>
                  <w:rtl w:val="0"/>
                </w:rPr>
                <w:t xml:space="preserve">August 2003 to July 2004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0000e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80808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ee"/>
                <w:u w:val="single"/>
              </w:rPr>
              <w:drawing>
                <wp:inline distB="19050" distT="19050" distL="19050" distR="19050">
                  <wp:extent cx="0" cy="0"/>
                  <wp:effectExtent b="0" l="0" r="0" t="0"/>
                  <wp:docPr id="1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808080"/>
                <w:rtl w:val="0"/>
              </w:rPr>
              <w:t xml:space="preserve">California College of Midwives 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  <w:color w:val="808080"/>
              </w:rPr>
            </w:pPr>
            <w:hyperlink r:id="rId12">
              <w:r w:rsidDel="00000000" w:rsidR="00000000" w:rsidRPr="00000000">
                <w:rPr>
                  <w:rFonts w:ascii="Tahoma" w:cs="Tahoma" w:eastAsia="Tahoma" w:hAnsi="Tahoma"/>
                  <w:b w:val="1"/>
                  <w:color w:val="0000ee"/>
                  <w:u w:val="single"/>
                  <w:rtl w:val="0"/>
                </w:rPr>
                <w:t xml:space="preserve"> Midwifery Standard of Care</w:t>
              </w:r>
            </w:hyperlink>
            <w:r w:rsidDel="00000000" w:rsidR="00000000" w:rsidRPr="00000000">
              <w:rPr>
                <w:rFonts w:ascii="Tahoma" w:cs="Tahoma" w:eastAsia="Tahoma" w:hAnsi="Tahoma"/>
                <w:b w:val="1"/>
                <w:color w:val="808080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 March  2006 edition 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        </w:t>
              <w:tab/>
            </w:r>
          </w:p>
        </w:tc>
        <w:tc>
          <w:tcPr>
            <w:vMerge w:val="continue"/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</w:rPr>
              <w:drawing>
                <wp:inline distB="19050" distT="19050" distL="19050" distR="19050">
                  <wp:extent cx="0" cy="0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Sunset Review May 2002, </w:t>
      </w:r>
      <w:hyperlink r:id="rId14">
        <w:r w:rsidDel="00000000" w:rsidR="00000000" w:rsidRPr="00000000">
          <w:rPr>
            <w:rFonts w:ascii="Tahoma" w:cs="Tahoma" w:eastAsia="Tahoma" w:hAnsi="Tahoma"/>
            <w:b w:val="1"/>
            <w:color w:val="0000ee"/>
            <w:u w:val="single"/>
            <w:rtl w:val="0"/>
          </w:rPr>
          <w:t xml:space="preserve">Written Testimony</w:t>
        </w:r>
      </w:hyperlink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,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ee"/>
          <w:u w:val="single"/>
        </w:rPr>
      </w:pPr>
      <w:hyperlink r:id="rId15">
        <w:r w:rsidDel="00000000" w:rsidR="00000000" w:rsidRPr="00000000">
          <w:rPr>
            <w:rFonts w:ascii="Tahoma" w:cs="Tahoma" w:eastAsia="Tahoma" w:hAnsi="Tahoma"/>
            <w:b w:val="1"/>
            <w:color w:val="0000ee"/>
            <w:u w:val="single"/>
            <w:rtl w:val="0"/>
          </w:rPr>
          <w:t xml:space="preserve">List of Recommendations</w:t>
        </w:r>
      </w:hyperlink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and </w:t>
      </w:r>
      <w:hyperlink r:id="rId16">
        <w:r w:rsidDel="00000000" w:rsidR="00000000" w:rsidRPr="00000000">
          <w:rPr>
            <w:rFonts w:ascii="Tahoma" w:cs="Tahoma" w:eastAsia="Tahoma" w:hAnsi="Tahoma"/>
            <w:b w:val="1"/>
            <w:color w:val="0000ee"/>
            <w:u w:val="single"/>
            <w:rtl w:val="0"/>
          </w:rPr>
          <w:t xml:space="preserve">Examples of Failures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80"/>
          <w:rtl w:val="0"/>
        </w:rPr>
        <w:t xml:space="preserve">CC: Senators Figueroa &amp; Boatwright  Jay DeFuria, B&amp;P / JLSRC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</w:rPr>
      </w:pPr>
      <w:r w:rsidDel="00000000" w:rsidR="00000000" w:rsidRPr="00000000">
        <w:rPr>
          <w:rFonts w:ascii="Tahoma" w:cs="Tahoma" w:eastAsia="Tahoma" w:hAnsi="Tahoma"/>
          <w:b w:val="1"/>
          <w:color w:val="000080"/>
          <w:rtl w:val="0"/>
        </w:rPr>
        <w:t xml:space="preserve">Bob McElderry ~ CMA Frank Cuny, CCfHF,  Orange County Register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ff"/>
          <w:sz w:val="28"/>
          <w:szCs w:val="28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b w:val="1"/>
          <w:color w:val="0000ff"/>
          <w:sz w:val="28"/>
          <w:szCs w:val="28"/>
          <w:rtl w:val="0"/>
        </w:rPr>
        <w:t xml:space="preserve">19 </w:t>
      </w:r>
      <w:r w:rsidDel="00000000" w:rsidR="00000000" w:rsidRPr="00000000">
        <w:rPr>
          <w:rFonts w:ascii="Tahoma" w:cs="Tahoma" w:eastAsia="Tahoma" w:hAnsi="Tahoma"/>
          <w:color w:val="0000ff"/>
          <w:sz w:val="28"/>
          <w:szCs w:val="28"/>
          <w:rtl w:val="0"/>
        </w:rPr>
        <w:t xml:space="preserve"> </w:t>
      </w:r>
      <w:hyperlink r:id="rId17">
        <w:r w:rsidDel="00000000" w:rsidR="00000000" w:rsidRPr="00000000">
          <w:rPr>
            <w:rFonts w:ascii="Tahoma" w:cs="Tahoma" w:eastAsia="Tahoma" w:hAnsi="Tahoma"/>
            <w:b w:val="1"/>
            <w:color w:val="0000ff"/>
            <w:sz w:val="28"/>
            <w:szCs w:val="28"/>
            <w:u w:val="single"/>
            <w:rtl w:val="0"/>
          </w:rPr>
          <w:t xml:space="preserve">Appointed Members of the Medical Board --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</w:t>
      </w:r>
      <w:hyperlink r:id="rId18">
        <w:r w:rsidDel="00000000" w:rsidR="00000000" w:rsidRPr="00000000">
          <w:rPr>
            <w:rFonts w:ascii="Tahoma" w:cs="Tahoma" w:eastAsia="Tahoma" w:hAnsi="Tahoma"/>
            <w:color w:val="000080"/>
            <w:sz w:val="24"/>
            <w:szCs w:val="24"/>
            <w:u w:val="single"/>
            <w:rtl w:val="0"/>
          </w:rPr>
          <w:t xml:space="preserve">Information on to contact Board Members via the Board's Web 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   </w:t>
      </w:r>
      <w:hyperlink r:id="rId19">
        <w:r w:rsidDel="00000000" w:rsidR="00000000" w:rsidRPr="00000000">
          <w:rPr>
            <w:rFonts w:ascii="Tahoma" w:cs="Tahoma" w:eastAsia="Tahoma" w:hAnsi="Tahoma"/>
            <w:b w:val="1"/>
            <w:color w:val="0000ee"/>
            <w:sz w:val="28"/>
            <w:szCs w:val="28"/>
            <w:u w:val="single"/>
            <w:rtl w:val="0"/>
          </w:rPr>
          <w:t xml:space="preserve">General Information</w:t>
        </w:r>
      </w:hyperlink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on Midwifery History,  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  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Safe Practice, Politics and  MBC Members   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   and Agency Staff of the Medical Board of California</w:t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    and other interested parties    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21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Canadian Medical Association article: </w:t>
        </w:r>
      </w:hyperlink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</w:rPr>
        <w:drawing>
          <wp:inline distB="19050" distT="19050" distL="19050" distR="19050">
            <wp:extent cx="0" cy="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Outcomes of planned home birth versus planned hospital births 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after regulation of midwifery in British Columbia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   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</w:t>
      </w:r>
      <w:hyperlink r:id="rId24">
        <w:r w:rsidDel="00000000" w:rsidR="00000000" w:rsidRPr="00000000">
          <w:rPr>
            <w:rFonts w:ascii="Arial" w:cs="Arial" w:eastAsia="Arial" w:hAnsi="Arial"/>
            <w:b w:val="1"/>
            <w:color w:val="0000ee"/>
            <w:sz w:val="24"/>
            <w:szCs w:val="24"/>
            <w:u w:val="single"/>
            <w:rtl w:val="0"/>
          </w:rPr>
          <w:t xml:space="preserve">12 Fact Sheets</w:t>
        </w:r>
      </w:hyperlink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80"/>
          <w:sz w:val="28"/>
          <w:szCs w:val="28"/>
          <w:rtl w:val="0"/>
        </w:rPr>
        <w:t xml:space="preserve"> on Safety of Midwifery Model of Care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000080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</w:t>
      </w:r>
      <w:hyperlink r:id="rId26">
        <w:r w:rsidDel="00000000" w:rsidR="00000000" w:rsidRPr="00000000">
          <w:rPr>
            <w:rFonts w:ascii="Tahoma" w:cs="Tahoma" w:eastAsia="Tahoma" w:hAnsi="Tahoma"/>
            <w:b w:val="1"/>
            <w:color w:val="0000ee"/>
            <w:sz w:val="28"/>
            <w:szCs w:val="28"/>
            <w:u w:val="single"/>
            <w:rtl w:val="0"/>
          </w:rPr>
          <w:t xml:space="preserve"> Attorney Steve Keller</w:t>
        </w:r>
      </w:hyperlink>
      <w:r w:rsidDel="00000000" w:rsidR="00000000" w:rsidRPr="00000000">
        <w:rPr>
          <w:rFonts w:ascii="Tahoma" w:cs="Tahoma" w:eastAsia="Tahoma" w:hAnsi="Tahoma"/>
          <w:b w:val="1"/>
          <w:color w:val="000080"/>
          <w:sz w:val="28"/>
          <w:szCs w:val="28"/>
          <w:rtl w:val="0"/>
        </w:rPr>
        <w:t xml:space="preserve">, </w:t>
      </w:r>
      <w:bookmarkStart w:colFirst="0" w:colLast="0" w:name="gjdgxs" w:id="0"/>
      <w:bookmarkEnd w:id="0"/>
      <w:r w:rsidDel="00000000" w:rsidR="00000000" w:rsidRPr="00000000">
        <w:rPr>
          <w:rFonts w:ascii="Tahoma" w:cs="Tahoma" w:eastAsia="Tahoma" w:hAnsi="Tahoma"/>
          <w:b w:val="1"/>
          <w:color w:val="000080"/>
          <w:sz w:val="28"/>
          <w:szCs w:val="28"/>
          <w:rtl w:val="0"/>
        </w:rPr>
        <w:t xml:space="preserve">regarding the prosecution of midwives by the MBC in 1991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b w:val="1"/>
          <w:color w:val="000080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bookmarkStart w:colFirst="0" w:colLast="0" w:name="30j0zll" w:id="1"/>
      <w:bookmarkEnd w:id="1"/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  <w:rtl w:val="0"/>
        </w:rPr>
        <w:t xml:space="preserve">Correspondence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  <w:rtl w:val="0"/>
        </w:rPr>
        <w:t xml:space="preserve">Archive </w:t>
      </w:r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  <w:rtl w:val="0"/>
        </w:rPr>
        <w:t xml:space="preserve">Medical Board of California &gt;&gt; California College of Midwives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8"/>
          <w:szCs w:val="28"/>
        </w:rPr>
        <w:drawing>
          <wp:inline distB="19050" distT="19050" distL="19050" distR="19050">
            <wp:extent cx="0" cy="0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30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MBC / Re: Licensed Midwife Dana Fox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 (Link to legal resources for RT Case_June2005)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a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32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 </w:t>
        </w:r>
      </w:hyperlink>
      <w:hyperlink r:id="rId33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Request for MBC</w:t>
        </w:r>
      </w:hyperlink>
      <w:r w:rsidDel="00000000" w:rsidR="00000000" w:rsidRPr="00000000">
        <w:rPr>
          <w:rFonts w:ascii="Tahoma" w:cs="Tahoma" w:eastAsia="Tahoma" w:hAnsi="Tahoma"/>
          <w:color w:val="0000a0"/>
          <w:sz w:val="24"/>
          <w:szCs w:val="24"/>
          <w:rtl w:val="0"/>
        </w:rPr>
        <w:t xml:space="preserve"> quarterly meeting to be </w:t>
      </w:r>
      <w:r w:rsidDel="00000000" w:rsidR="00000000" w:rsidRPr="00000000">
        <w:rPr>
          <w:rFonts w:ascii="Tahoma" w:cs="Tahoma" w:eastAsia="Tahoma" w:hAnsi="Tahoma"/>
          <w:color w:val="0000a0"/>
          <w:sz w:val="24"/>
          <w:szCs w:val="24"/>
          <w:u w:val="single"/>
          <w:rtl w:val="0"/>
        </w:rPr>
        <w:t xml:space="preserve">broadcast on cable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ffffff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a0"/>
          <w:sz w:val="24"/>
          <w:szCs w:val="24"/>
          <w:u w:val="single"/>
        </w:rPr>
        <w:drawing>
          <wp:inline distB="19050" distT="19050" distL="19050" distR="19050">
            <wp:extent cx="0" cy="0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Dr Schumacher, neonatalogist,</w:t>
        </w:r>
      </w:hyperlink>
      <w:r w:rsidDel="00000000" w:rsidR="00000000" w:rsidRPr="00000000">
        <w:rPr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a0"/>
          <w:sz w:val="24"/>
          <w:szCs w:val="24"/>
          <w:rtl w:val="0"/>
        </w:rPr>
        <w:t xml:space="preserve">MBC MEMBER ~ Mfry </w:t>
      </w: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response to his </w:t>
      </w:r>
      <w:r w:rsidDel="00000000" w:rsidR="00000000" w:rsidRPr="00000000">
        <w:rPr>
          <w:rFonts w:ascii="Arial" w:cs="Arial" w:eastAsia="Arial" w:hAnsi="Arial"/>
          <w:color w:val="0000a0"/>
          <w:sz w:val="24"/>
          <w:szCs w:val="24"/>
          <w:rtl w:val="0"/>
        </w:rPr>
        <w:t xml:space="preserve">negative comments on home-based midwifery care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38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Written Testimony MBC-DOL Public Hearing 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on Reg. 1379.21 opposition to a written supervisory agreement between licensed midwives and physicians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hyperlink r:id="rId41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Documentation (synopsis) submitted with testimony </w:t>
        </w:r>
      </w:hyperlink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 for Public Hearing on Reg. 1379.21 for Public Hearing on Reg. 1379.21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MBC-Midwifery Committee Meeting #3, June 6, 1994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hyperlink r:id="rId44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Tape 1-b 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(Dr. Shelly Scalla,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hyperlink r:id="rId45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Tape 2 -a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(Senator Killea)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</w:t>
      </w:r>
      <w:hyperlink r:id="rId46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Tape 2-b 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(Judge Cologne)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MBC-Midwifery Implementation Committee Meeting #6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-- </w:t>
      </w:r>
      <w:hyperlink r:id="rId48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September 94 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(Nancy Chavez, Anitia Scuri)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Statement of Problem and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hyperlink r:id="rId50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Proposal for Amendment 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of LMPA - Replace "supervision" with "collaboration"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a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hyperlink r:id="rId53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Letter to Dr. Friedman on physician supervision</w:t>
        </w:r>
      </w:hyperlink>
      <w:r w:rsidDel="00000000" w:rsidR="00000000" w:rsidRPr="00000000">
        <w:rPr>
          <w:rFonts w:ascii="Arial" w:cs="Arial" w:eastAsia="Arial" w:hAnsi="Arial"/>
          <w:color w:val="0000a0"/>
          <w:sz w:val="24"/>
          <w:szCs w:val="24"/>
          <w:rtl w:val="0"/>
        </w:rPr>
        <w:t xml:space="preserve"> subsequent to the May 1997 Medical Board meeting of the Division of Licensing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a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5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Dr Joas, Chairman </w:t>
        </w:r>
      </w:hyperlink>
      <w:hyperlink r:id="rId56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o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f the Midwifery Implementation Committee, 1994; regarding topic of Phys Supervision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58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Dr. Joas, Mfry Implementation committee,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 1998; regarding expert review by LMs of midwifery-related quality of care issues 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60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Deputy Dir. Doug Laue, Citizen Oversight --</w:t>
        </w:r>
      </w:hyperlink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and requesting increased use of Public Letters of Reprimand, 1995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62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 </w:t>
        </w:r>
      </w:hyperlink>
      <w:hyperlink r:id="rId63">
        <w:r w:rsidDel="00000000" w:rsidR="00000000" w:rsidRPr="00000000">
          <w:rPr>
            <w:rFonts w:ascii="Tahoma" w:cs="Tahoma" w:eastAsia="Tahoma" w:hAnsi="Tahoma"/>
            <w:color w:val="0000ff"/>
            <w:sz w:val="24"/>
            <w:szCs w:val="24"/>
            <w:u w:val="single"/>
            <w:rtl w:val="0"/>
          </w:rPr>
          <w:t xml:space="preserve">A Balanced Approach to Medical Board Discipline/LPR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u w:val="single"/>
        </w:rPr>
        <w:drawing>
          <wp:inline distB="19050" distT="19050" distL="19050" distR="19050">
            <wp:extent cx="0" cy="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65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List of 15 Recommendations for Medical Board Oversight </w:t>
        </w:r>
      </w:hyperlink>
      <w:hyperlink r:id="rId66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(requiring written practice protocols between midwives and physician supervisors)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 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i w:val="1"/>
          <w:color w:val="000080"/>
        </w:rPr>
      </w:pPr>
      <w:r w:rsidDel="00000000" w:rsidR="00000000" w:rsidRPr="00000000">
        <w:rPr>
          <w:rFonts w:ascii="Tahoma" w:cs="Tahoma" w:eastAsia="Tahoma" w:hAnsi="Tahoma"/>
        </w:rPr>
        <w:drawing>
          <wp:inline distB="19050" distT="19050" distL="19050" distR="19050">
            <wp:extent cx="0" cy="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68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Candice Cohen, Editor,</w:t>
        </w:r>
      </w:hyperlink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  </w:t>
      </w:r>
      <w:r w:rsidDel="00000000" w:rsidR="00000000" w:rsidRPr="00000000">
        <w:rPr>
          <w:rFonts w:ascii="Tahoma" w:cs="Tahoma" w:eastAsia="Tahoma" w:hAnsi="Tahoma"/>
          <w:i w:val="1"/>
          <w:color w:val="000080"/>
          <w:sz w:val="24"/>
          <w:szCs w:val="24"/>
          <w:rtl w:val="0"/>
        </w:rPr>
        <w:t xml:space="preserve">Action Report 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Request in 2000 for an article in the quarterly report on </w:t>
      </w:r>
      <w:r w:rsidDel="00000000" w:rsidR="00000000" w:rsidRPr="00000000">
        <w:rPr>
          <w:rFonts w:ascii="Tahoma" w:cs="Tahoma" w:eastAsia="Tahoma" w:hAnsi="Tahoma"/>
          <w:i w:val="1"/>
          <w:color w:val="000080"/>
          <w:sz w:val="24"/>
          <w:szCs w:val="24"/>
          <w:rtl w:val="0"/>
        </w:rPr>
        <w:t xml:space="preserve">Information about California Licensed Midwives, Home-based Midwifery Care and Timely Hospital Transfer</w:t>
      </w:r>
      <w:r w:rsidDel="00000000" w:rsidR="00000000" w:rsidRPr="00000000">
        <w:rPr>
          <w:rFonts w:ascii="Tahoma" w:cs="Tahoma" w:eastAsia="Tahoma" w:hAnsi="Tahoma"/>
          <w:i w:val="1"/>
          <w:color w:val="000080"/>
          <w:rtl w:val="0"/>
        </w:rPr>
        <w:t xml:space="preserve">  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i w:val="1"/>
          <w:color w:val="000080"/>
        </w:rPr>
        <w:drawing>
          <wp:inline distB="19050" distT="19050" distL="19050" distR="19050">
            <wp:extent cx="0" cy="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70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Candace Cohen, Editor, MBC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Action Report,  1994 --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RE: Publication of a survey in </w:t>
      </w:r>
      <w:r w:rsidDel="00000000" w:rsidR="00000000" w:rsidRPr="00000000">
        <w:rPr>
          <w:rFonts w:ascii="Tahoma" w:cs="Tahoma" w:eastAsia="Tahoma" w:hAnsi="Tahoma"/>
          <w:i w:val="1"/>
          <w:color w:val="000080"/>
          <w:sz w:val="24"/>
          <w:szCs w:val="24"/>
          <w:rtl w:val="0"/>
        </w:rPr>
        <w:t xml:space="preserve">Action Report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u w:val="single"/>
          <w:rtl w:val="0"/>
        </w:rPr>
        <w:t xml:space="preserve">soliciting information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from California physicians about their 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u w:val="single"/>
          <w:rtl w:val="0"/>
        </w:rPr>
        <w:t xml:space="preserve">interest in and ability to enter into a supervisory relationship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with licensed midwives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72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Bruce Hasenkamp, President,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DOL, July 30th 1998  RE: Update on Professional Liability Insurance for Licensed Midwives &amp; its relationship to Physician Supervision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Tahoma" w:cs="Tahoma" w:eastAsia="Tahoma" w:hAnsi="Tahoma"/>
          <w:color w:val="000080"/>
        </w:rPr>
        <w:drawing>
          <wp:inline distB="19050" distT="19050" distL="19050" distR="19050">
            <wp:extent cx="0" cy="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74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Dr Alpert, MD, Member, Division of Licensing,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 MBC; April 1997 -- Re: February 7th Regulatory Hearing on Section 1379.21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Correspondence to Legislators RE MBC, Midwifery and related topics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76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Jay DeFuria </w:t>
        </w:r>
      </w:hyperlink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 </w:t>
        </w:r>
      </w:hyperlink>
      <w:hyperlink r:id="rId78">
        <w:r w:rsidDel="00000000" w:rsidR="00000000" w:rsidRPr="00000000">
          <w:rPr>
            <w:rFonts w:ascii="Arial" w:cs="Arial" w:eastAsia="Arial" w:hAnsi="Arial"/>
            <w:color w:val="000080"/>
            <w:sz w:val="24"/>
            <w:szCs w:val="24"/>
            <w:u w:val="single"/>
            <w:rtl w:val="0"/>
          </w:rPr>
          <w:t xml:space="preserve">-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- Joint Legislative 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Sunset Review Committee , 1997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hyperlink r:id="rId80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Joint Legislative Sunset Review Committee 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-- MBC -- Correspondence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ahoma" w:cs="Tahoma" w:eastAsia="Tahoma" w:hAnsi="Tahoma"/>
          <w:color w:val="000080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82">
        <w:r w:rsidDel="00000000" w:rsidR="00000000" w:rsidRPr="00000000">
          <w:rPr>
            <w:rFonts w:ascii="Tahoma" w:cs="Tahoma" w:eastAsia="Tahoma" w:hAnsi="Tahoma"/>
            <w:color w:val="0000ee"/>
            <w:u w:val="single"/>
            <w:rtl w:val="0"/>
          </w:rPr>
          <w:t xml:space="preserve">The Honorable Brian Setencich, Speaker </w:t>
        </w:r>
      </w:hyperlink>
      <w:r w:rsidDel="00000000" w:rsidR="00000000" w:rsidRPr="00000000">
        <w:rPr>
          <w:rFonts w:ascii="Tahoma" w:cs="Tahoma" w:eastAsia="Tahoma" w:hAnsi="Tahoma"/>
          <w:color w:val="000080"/>
          <w:rtl w:val="0"/>
        </w:rPr>
        <w:t xml:space="preserve">California State Assembly,  1995; Re:  Recommendation for appointment to the recently vacated public seat on the Medical Board of California. 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b w:val="1"/>
          <w:color w:val="000080"/>
          <w:sz w:val="24"/>
          <w:szCs w:val="24"/>
          <w:rtl w:val="0"/>
        </w:rPr>
        <w:t xml:space="preserve">Correspondance regarding Physician Supervision 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80"/>
          <w:sz w:val="24"/>
          <w:szCs w:val="24"/>
          <w:rtl w:val="0"/>
        </w:rPr>
        <w:t xml:space="preserve">to Stanford, ACOG, CAOG, CMA and others 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Request to </w:t>
      </w:r>
      <w:hyperlink r:id="rId84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Stanford Women's Clinic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 for back-up, domino care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 </w:t>
      </w:r>
      <w:hyperlink r:id="rId86">
        <w:r w:rsidDel="00000000" w:rsidR="00000000" w:rsidRPr="00000000">
          <w:rPr>
            <w:rFonts w:ascii="Arial" w:cs="Arial" w:eastAsia="Arial" w:hAnsi="Arial"/>
            <w:color w:val="0000ee"/>
            <w:sz w:val="24"/>
            <w:szCs w:val="24"/>
            <w:u w:val="single"/>
            <w:rtl w:val="0"/>
          </w:rPr>
          <w:t xml:space="preserve">American College of Obstetricians &amp; Gynecologists</w:t>
        </w:r>
      </w:hyperlink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   Letter from the California College of Midwives to 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</w:rPr>
        <w:drawing>
          <wp:inline distB="19050" distT="19050" distL="19050" distR="19050">
            <wp:extent cx="0" cy="0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California Association of Obstetricians &amp; Gynecologist 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</w:rPr>
        <w:drawing>
          <wp:inline distB="19050" distT="19050" distL="19050" distR="19050">
            <wp:extent cx="0" cy="0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</w:rPr>
        <w:drawing>
          <wp:inline distB="19050" distT="19050" distL="19050" distR="19050">
            <wp:extent cx="0" cy="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hyperlink r:id="rId91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 California Medical Association ,</w:t>
        </w:r>
      </w:hyperlink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</w:t>
      </w:r>
      <w:bookmarkStart w:colFirst="0" w:colLast="0" w:name="3znysh7" w:id="3"/>
      <w:bookmarkEnd w:id="3"/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Vonnie Gurin,</w:t>
      </w:r>
      <w:hyperlink r:id="rId92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</w:t>
      </w:r>
      <w:bookmarkStart w:colFirst="0" w:colLast="0" w:name="2et92p0" w:id="4"/>
      <w:bookmarkEnd w:id="4"/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1994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Legislative History of Medical Practice Act 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&amp; Midwifery Licensing Laws - 1876 to 1993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1"/>
          <w:color w:val="0000ee"/>
          <w:sz w:val="24"/>
          <w:szCs w:val="24"/>
          <w:u w:val="single"/>
        </w:rPr>
      </w:pPr>
      <w:hyperlink r:id="rId93">
        <w:r w:rsidDel="00000000" w:rsidR="00000000" w:rsidRPr="00000000">
          <w:rPr>
            <w:rFonts w:ascii="Tahoma" w:cs="Tahoma" w:eastAsia="Tahoma" w:hAnsi="Tahoma"/>
            <w:b w:val="1"/>
            <w:color w:val="0000ff"/>
            <w:sz w:val="24"/>
            <w:szCs w:val="24"/>
            <w:u w:val="single"/>
            <w:rtl w:val="0"/>
          </w:rPr>
          <w:t xml:space="preserve">Part One</w:t>
        </w:r>
      </w:hyperlink>
      <w:r w:rsidDel="00000000" w:rsidR="00000000" w:rsidRPr="00000000">
        <w:rPr>
          <w:rFonts w:ascii="Tahoma" w:cs="Tahoma" w:eastAsia="Tahoma" w:hAnsi="Tahoma"/>
          <w:b w:val="1"/>
          <w:color w:val="000080"/>
          <w:sz w:val="24"/>
          <w:szCs w:val="24"/>
          <w:rtl w:val="0"/>
        </w:rPr>
        <w:t xml:space="preserve">     </w:t>
      </w:r>
      <w:hyperlink r:id="rId94">
        <w:r w:rsidDel="00000000" w:rsidR="00000000" w:rsidRPr="00000000">
          <w:rPr>
            <w:rFonts w:ascii="Tahoma" w:cs="Tahoma" w:eastAsia="Tahoma" w:hAnsi="Tahoma"/>
            <w:b w:val="1"/>
            <w:color w:val="0000ee"/>
            <w:sz w:val="24"/>
            <w:szCs w:val="24"/>
            <w:u w:val="single"/>
            <w:rtl w:val="0"/>
          </w:rPr>
          <w:t xml:space="preserve">Part Two</w:t>
        </w:r>
      </w:hyperlink>
      <w:r w:rsidDel="00000000" w:rsidR="00000000" w:rsidRPr="00000000">
        <w:rPr>
          <w:rFonts w:ascii="Tahoma" w:cs="Tahoma" w:eastAsia="Tahoma" w:hAnsi="Tahoma"/>
          <w:b w:val="1"/>
          <w:color w:val="000080"/>
          <w:sz w:val="24"/>
          <w:szCs w:val="24"/>
          <w:rtl w:val="0"/>
        </w:rPr>
        <w:t xml:space="preserve">    </w:t>
      </w:r>
      <w:hyperlink r:id="rId95">
        <w:r w:rsidDel="00000000" w:rsidR="00000000" w:rsidRPr="00000000">
          <w:rPr>
            <w:rFonts w:ascii="Tahoma" w:cs="Tahoma" w:eastAsia="Tahoma" w:hAnsi="Tahoma"/>
            <w:b w:val="1"/>
            <w:color w:val="0000ee"/>
            <w:sz w:val="24"/>
            <w:szCs w:val="24"/>
            <w:u w:val="single"/>
            <w:rtl w:val="0"/>
          </w:rPr>
          <w:t xml:space="preserve">Part Three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ff"/>
          <w:sz w:val="24"/>
          <w:szCs w:val="24"/>
          <w:u w:val="single"/>
        </w:rPr>
      </w:pPr>
      <w:hyperlink r:id="rId96">
        <w:r w:rsidDel="00000000" w:rsidR="00000000" w:rsidRPr="00000000">
          <w:rPr>
            <w:rFonts w:ascii="Tahoma" w:cs="Tahoma" w:eastAsia="Tahoma" w:hAnsi="Tahoma"/>
            <w:color w:val="0000ff"/>
            <w:sz w:val="24"/>
            <w:szCs w:val="24"/>
            <w:u w:val="single"/>
            <w:rtl w:val="0"/>
          </w:rPr>
          <w:t xml:space="preserve">Good Fences Make for Good Neighbors 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color w:val="000080"/>
          <w:sz w:val="24"/>
          <w:szCs w:val="24"/>
        </w:rPr>
      </w:pPr>
      <w:hyperlink r:id="rId97">
        <w:r w:rsidDel="00000000" w:rsidR="00000000" w:rsidRPr="00000000">
          <w:rPr>
            <w:rFonts w:ascii="Tahoma" w:cs="Tahoma" w:eastAsia="Tahoma" w:hAnsi="Tahoma"/>
            <w:color w:val="0000ee"/>
            <w:sz w:val="24"/>
            <w:szCs w:val="24"/>
            <w:u w:val="single"/>
            <w:rtl w:val="0"/>
          </w:rPr>
          <w:t xml:space="preserve">Letters to the Editor</w:t>
        </w:r>
      </w:hyperlink>
      <w:r w:rsidDel="00000000" w:rsidR="00000000" w:rsidRPr="00000000">
        <w:rPr>
          <w:rFonts w:ascii="Tahoma" w:cs="Tahoma" w:eastAsia="Tahoma" w:hAnsi="Tahoma"/>
          <w:color w:val="0000f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color w:val="000080"/>
          <w:sz w:val="24"/>
          <w:szCs w:val="24"/>
          <w:rtl w:val="0"/>
        </w:rPr>
        <w:t xml:space="preserve"> Legal Actions against Midwives -- National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   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docs.google.com/supvdoc.htm" TargetMode="External"/><Relationship Id="rId42" Type="http://schemas.openxmlformats.org/officeDocument/2006/relationships/hyperlink" Target="http://docs.google.com/supvdoc.htm" TargetMode="External"/><Relationship Id="rId41" Type="http://schemas.openxmlformats.org/officeDocument/2006/relationships/hyperlink" Target="http://docs.google.com/supvdoc.htm" TargetMode="External"/><Relationship Id="rId44" Type="http://schemas.openxmlformats.org/officeDocument/2006/relationships/hyperlink" Target="http://docs.google.com/mbcjun1b.htm" TargetMode="External"/><Relationship Id="rId43" Type="http://schemas.openxmlformats.org/officeDocument/2006/relationships/image" Target="media/image34.png"/><Relationship Id="rId46" Type="http://schemas.openxmlformats.org/officeDocument/2006/relationships/hyperlink" Target="http://docs.google.com/mbcjun3a.htm" TargetMode="External"/><Relationship Id="rId45" Type="http://schemas.openxmlformats.org/officeDocument/2006/relationships/hyperlink" Target="http://docs.google.com/jun94mfr.htm" TargetMode="External"/><Relationship Id="rId48" Type="http://schemas.openxmlformats.org/officeDocument/2006/relationships/hyperlink" Target="http://docs.google.com/trans6.htm" TargetMode="External"/><Relationship Id="rId47" Type="http://schemas.openxmlformats.org/officeDocument/2006/relationships/image" Target="media/image35.png"/><Relationship Id="rId49" Type="http://schemas.openxmlformats.org/officeDocument/2006/relationships/image" Target="media/image36.png"/><Relationship Id="rId31" Type="http://schemas.openxmlformats.org/officeDocument/2006/relationships/image" Target="media/image27.png"/><Relationship Id="rId30" Type="http://schemas.openxmlformats.org/officeDocument/2006/relationships/hyperlink" Target="http://docs.google.com/DanaFox_01.htm" TargetMode="External"/><Relationship Id="rId33" Type="http://schemas.openxmlformats.org/officeDocument/2006/relationships/hyperlink" Target="http://docs.google.com/mbc95cab.htm" TargetMode="External"/><Relationship Id="rId32" Type="http://schemas.openxmlformats.org/officeDocument/2006/relationships/hyperlink" Target="http://docs.google.com/mbc95cab.htm" TargetMode="External"/><Relationship Id="rId35" Type="http://schemas.openxmlformats.org/officeDocument/2006/relationships/hyperlink" Target="http://docs.google.com/shumachr.htm" TargetMode="External"/><Relationship Id="rId34" Type="http://schemas.openxmlformats.org/officeDocument/2006/relationships/image" Target="media/image29.png"/><Relationship Id="rId37" Type="http://schemas.openxmlformats.org/officeDocument/2006/relationships/image" Target="media/image31.png"/><Relationship Id="rId36" Type="http://schemas.openxmlformats.org/officeDocument/2006/relationships/hyperlink" Target="http://docs.google.com/shumachr.htm" TargetMode="External"/><Relationship Id="rId39" Type="http://schemas.openxmlformats.org/officeDocument/2006/relationships/image" Target="media/image33.png"/><Relationship Id="rId38" Type="http://schemas.openxmlformats.org/officeDocument/2006/relationships/hyperlink" Target="http://docs.google.com/testmbc.htm" TargetMode="External"/><Relationship Id="rId20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hyperlink" Target="http://www.cma.ca/cmaj/vol-166/issue-3/0315.asp" TargetMode="External"/><Relationship Id="rId24" Type="http://schemas.openxmlformats.org/officeDocument/2006/relationships/hyperlink" Target="http://docs.google.com/safety_issues01/factsSheet%20Index%2001ahtm.htm" TargetMode="External"/><Relationship Id="rId23" Type="http://schemas.openxmlformats.org/officeDocument/2006/relationships/image" Target="media/image21.png"/><Relationship Id="rId26" Type="http://schemas.openxmlformats.org/officeDocument/2006/relationships/hyperlink" Target="http://docs.google.com/keller95.htm" TargetMode="External"/><Relationship Id="rId25" Type="http://schemas.openxmlformats.org/officeDocument/2006/relationships/image" Target="media/image19.png"/><Relationship Id="rId28" Type="http://schemas.openxmlformats.org/officeDocument/2006/relationships/image" Target="media/image22.png"/><Relationship Id="rId27" Type="http://schemas.openxmlformats.org/officeDocument/2006/relationships/image" Target="media/image26.png"/><Relationship Id="rId29" Type="http://schemas.openxmlformats.org/officeDocument/2006/relationships/image" Target="media/image24.png"/><Relationship Id="rId95" Type="http://schemas.openxmlformats.org/officeDocument/2006/relationships/hyperlink" Target="http://docs.google.com/Medical%20Board%2002/Leg_Hx_part%203.htm" TargetMode="External"/><Relationship Id="rId94" Type="http://schemas.openxmlformats.org/officeDocument/2006/relationships/hyperlink" Target="http://docs.google.com/Medical%20Board%2002/LegHx_point_by_point_.htm" TargetMode="External"/><Relationship Id="rId97" Type="http://schemas.openxmlformats.org/officeDocument/2006/relationships/hyperlink" Target="http://docs.google.com/AmyMedwin_lettereidtor_NC_98.htm" TargetMode="External"/><Relationship Id="rId96" Type="http://schemas.openxmlformats.org/officeDocument/2006/relationships/hyperlink" Target="http://docs.google.com/hxcalmfrylaw00a.htm" TargetMode="External"/><Relationship Id="rId11" Type="http://schemas.openxmlformats.org/officeDocument/2006/relationships/image" Target="media/image15.png"/><Relationship Id="rId10" Type="http://schemas.openxmlformats.org/officeDocument/2006/relationships/hyperlink" Target="http://docs.google.com/MB_Reports_SB1950_03_04.htm" TargetMode="External"/><Relationship Id="rId13" Type="http://schemas.openxmlformats.org/officeDocument/2006/relationships/image" Target="media/image14.png"/><Relationship Id="rId12" Type="http://schemas.openxmlformats.org/officeDocument/2006/relationships/hyperlink" Target="http://docs.google.com/prof_articles01/Standards_postHearing_Feb2005/Standards_of_Care_Dec2005.pdf" TargetMode="External"/><Relationship Id="rId91" Type="http://schemas.openxmlformats.org/officeDocument/2006/relationships/hyperlink" Target="http://docs.google.com/cma94gur.htm" TargetMode="External"/><Relationship Id="rId90" Type="http://schemas.openxmlformats.org/officeDocument/2006/relationships/image" Target="media/image32.png"/><Relationship Id="rId93" Type="http://schemas.openxmlformats.org/officeDocument/2006/relationships/hyperlink" Target="http://docs.google.com/Medical%20Board%2002/Leg_overview_MPA_1876.htm" TargetMode="External"/><Relationship Id="rId92" Type="http://schemas.openxmlformats.org/officeDocument/2006/relationships/hyperlink" Target="http://docs.google.com/cma94gur.htm" TargetMode="External"/><Relationship Id="rId15" Type="http://schemas.openxmlformats.org/officeDocument/2006/relationships/hyperlink" Target="http://docs.google.com/Medical%20Board%2002/SunsetMBC_list02.htm" TargetMode="External"/><Relationship Id="rId14" Type="http://schemas.openxmlformats.org/officeDocument/2006/relationships/hyperlink" Target="http://docs.google.com/Medical%20Board%2002/SunsetMBC_letter02.htm" TargetMode="External"/><Relationship Id="rId17" Type="http://schemas.openxmlformats.org/officeDocument/2006/relationships/hyperlink" Target="http://www.medbd.ca.gov/members.htm" TargetMode="External"/><Relationship Id="rId16" Type="http://schemas.openxmlformats.org/officeDocument/2006/relationships/hyperlink" Target="http://docs.google.com/Medical%20Board%2002/SunsetReview_example_fail02.htm" TargetMode="External"/><Relationship Id="rId19" Type="http://schemas.openxmlformats.org/officeDocument/2006/relationships/hyperlink" Target="http://docs.google.com/MdBdpage02.htm" TargetMode="External"/><Relationship Id="rId18" Type="http://schemas.openxmlformats.org/officeDocument/2006/relationships/hyperlink" Target="http://www.medbd.ca.gov/members.htm" TargetMode="External"/><Relationship Id="rId84" Type="http://schemas.openxmlformats.org/officeDocument/2006/relationships/hyperlink" Target="http://docs.google.com/stanford.htm" TargetMode="External"/><Relationship Id="rId83" Type="http://schemas.openxmlformats.org/officeDocument/2006/relationships/image" Target="media/image23.png"/><Relationship Id="rId86" Type="http://schemas.openxmlformats.org/officeDocument/2006/relationships/hyperlink" Target="http://docs.google.com/acogltr.htm" TargetMode="External"/><Relationship Id="rId85" Type="http://schemas.openxmlformats.org/officeDocument/2006/relationships/image" Target="media/image25.png"/><Relationship Id="rId88" Type="http://schemas.openxmlformats.org/officeDocument/2006/relationships/hyperlink" Target="http://docs.google.com/college_of_midiwves01/caogpolansky.htm" TargetMode="External"/><Relationship Id="rId87" Type="http://schemas.openxmlformats.org/officeDocument/2006/relationships/image" Target="media/image28.png"/><Relationship Id="rId89" Type="http://schemas.openxmlformats.org/officeDocument/2006/relationships/image" Target="media/image30.png"/><Relationship Id="rId80" Type="http://schemas.openxmlformats.org/officeDocument/2006/relationships/hyperlink" Target="http://docs.google.com/sunsetoral.htm" TargetMode="External"/><Relationship Id="rId82" Type="http://schemas.openxmlformats.org/officeDocument/2006/relationships/hyperlink" Target="http://docs.google.com/Medical%20Board%2002/Assembly_Brian_setencich_speaker95.htm" TargetMode="External"/><Relationship Id="rId81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3.png"/><Relationship Id="rId8" Type="http://schemas.openxmlformats.org/officeDocument/2006/relationships/hyperlink" Target="http://docs.google.com/MdBdpage02.htm" TargetMode="External"/><Relationship Id="rId73" Type="http://schemas.openxmlformats.org/officeDocument/2006/relationships/image" Target="media/image9.png"/><Relationship Id="rId72" Type="http://schemas.openxmlformats.org/officeDocument/2006/relationships/hyperlink" Target="http://docs.google.com/Medical%20Board%2002/Hasenkamp_%20July98.htm" TargetMode="External"/><Relationship Id="rId75" Type="http://schemas.openxmlformats.org/officeDocument/2006/relationships/image" Target="media/image10.png"/><Relationship Id="rId74" Type="http://schemas.openxmlformats.org/officeDocument/2006/relationships/hyperlink" Target="http://docs.google.com/Medical%20Board%2002/Alpert_apr97.htm" TargetMode="External"/><Relationship Id="rId77" Type="http://schemas.openxmlformats.org/officeDocument/2006/relationships/hyperlink" Target="http://docs.google.com/jaydefur.htm" TargetMode="External"/><Relationship Id="rId76" Type="http://schemas.openxmlformats.org/officeDocument/2006/relationships/hyperlink" Target="http://docs.google.com/jaydefur.htm" TargetMode="External"/><Relationship Id="rId79" Type="http://schemas.openxmlformats.org/officeDocument/2006/relationships/image" Target="media/image18.png"/><Relationship Id="rId78" Type="http://schemas.openxmlformats.org/officeDocument/2006/relationships/hyperlink" Target="http://docs.google.com/jaydefur.htm" TargetMode="External"/><Relationship Id="rId71" Type="http://schemas.openxmlformats.org/officeDocument/2006/relationships/image" Target="media/image8.png"/><Relationship Id="rId70" Type="http://schemas.openxmlformats.org/officeDocument/2006/relationships/hyperlink" Target="http://docs.google.com/Medical%20Board%2002/Cohen_AR_request_94.htm" TargetMode="External"/><Relationship Id="rId62" Type="http://schemas.openxmlformats.org/officeDocument/2006/relationships/hyperlink" Target="http://docs.google.com/mb96bala.htm" TargetMode="External"/><Relationship Id="rId61" Type="http://schemas.openxmlformats.org/officeDocument/2006/relationships/image" Target="media/image4.png"/><Relationship Id="rId64" Type="http://schemas.openxmlformats.org/officeDocument/2006/relationships/image" Target="media/image5.png"/><Relationship Id="rId63" Type="http://schemas.openxmlformats.org/officeDocument/2006/relationships/hyperlink" Target="http://docs.google.com/mb96bala.htm" TargetMode="External"/><Relationship Id="rId66" Type="http://schemas.openxmlformats.org/officeDocument/2006/relationships/hyperlink" Target="http://docs.google.com/oversplr.htm" TargetMode="External"/><Relationship Id="rId65" Type="http://schemas.openxmlformats.org/officeDocument/2006/relationships/hyperlink" Target="http://docs.google.com/oversplr.htm" TargetMode="External"/><Relationship Id="rId68" Type="http://schemas.openxmlformats.org/officeDocument/2006/relationships/hyperlink" Target="http://docs.google.com/Medical%20Board%2002/Cohn_AR_hmbrt_trans00.htm" TargetMode="External"/><Relationship Id="rId67" Type="http://schemas.openxmlformats.org/officeDocument/2006/relationships/image" Target="media/image6.png"/><Relationship Id="rId60" Type="http://schemas.openxmlformats.org/officeDocument/2006/relationships/hyperlink" Target="http://docs.google.com/mdltr96p.htm" TargetMode="External"/><Relationship Id="rId69" Type="http://schemas.openxmlformats.org/officeDocument/2006/relationships/image" Target="media/image7.png"/><Relationship Id="rId51" Type="http://schemas.openxmlformats.org/officeDocument/2006/relationships/image" Target="media/image37.png"/><Relationship Id="rId50" Type="http://schemas.openxmlformats.org/officeDocument/2006/relationships/hyperlink" Target="http://docs.google.com/cfh97new.htm" TargetMode="External"/><Relationship Id="rId53" Type="http://schemas.openxmlformats.org/officeDocument/2006/relationships/hyperlink" Target="http://docs.google.com/mbcfried.htm" TargetMode="External"/><Relationship Id="rId52" Type="http://schemas.openxmlformats.org/officeDocument/2006/relationships/hyperlink" Target="http://docs.google.com/mbcfried.htm" TargetMode="External"/><Relationship Id="rId55" Type="http://schemas.openxmlformats.org/officeDocument/2006/relationships/hyperlink" Target="http://docs.google.com/mbc94drj.htm" TargetMode="External"/><Relationship Id="rId54" Type="http://schemas.openxmlformats.org/officeDocument/2006/relationships/image" Target="media/image1.png"/><Relationship Id="rId57" Type="http://schemas.openxmlformats.org/officeDocument/2006/relationships/image" Target="media/image2.png"/><Relationship Id="rId56" Type="http://schemas.openxmlformats.org/officeDocument/2006/relationships/hyperlink" Target="http://docs.google.com/mbc94drj.htm" TargetMode="External"/><Relationship Id="rId59" Type="http://schemas.openxmlformats.org/officeDocument/2006/relationships/image" Target="media/image3.png"/><Relationship Id="rId58" Type="http://schemas.openxmlformats.org/officeDocument/2006/relationships/hyperlink" Target="http://docs.google.com/Medical%20Board%2002/Joas_expertreviewr_aug_98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