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D7D7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56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956"/>
        <w:tblGridChange w:id="0">
          <w:tblGrid>
            <w:gridCol w:w="7956"/>
          </w:tblGrid>
        </w:tblGridChange>
      </w:tblGrid>
      <w:t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ff0000"/>
                <w:sz w:val="48"/>
                <w:szCs w:val="48"/>
                <w:shd w:fill="auto" w:val="clear"/>
              </w:rPr>
            </w:pPr>
            <w:r w:rsidDel="00000000" w:rsidR="00000000" w:rsidRPr="00000000">
              <w:rPr>
                <w:color w:val="ff0000"/>
                <w:sz w:val="48"/>
                <w:szCs w:val="48"/>
                <w:shd w:fill="auto" w:val="clear"/>
                <w:rtl w:val="0"/>
              </w:rPr>
              <w:t xml:space="preserve">California College of Midwives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color w:val="ff0000"/>
                <w:sz w:val="48"/>
                <w:szCs w:val="48"/>
                <w:shd w:fill="auto" w:val="clear"/>
                <w:rtl w:val="0"/>
              </w:rPr>
              <w:t xml:space="preserve">     </w:t>
            </w: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d7d7"/>
                <w:shd w:fill="auto" w:val="clear"/>
                <w:rtl w:val="0"/>
              </w:rPr>
              <w:t xml:space="preserve">   State chapter of the  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d2d2"/>
                <w:shd w:fill="auto" w:val="clear"/>
                <w:rtl w:val="0"/>
              </w:rPr>
              <w:t xml:space="preserve">American College of Community Midwives</w:t>
            </w:r>
            <w:r w:rsidDel="00000000" w:rsidR="00000000" w:rsidRPr="00000000">
              <w:rPr>
                <w:sz w:val="36"/>
                <w:szCs w:val="36"/>
                <w:shd w:fill="auto" w:val="clear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ffffff"/>
          <w:sz w:val="28"/>
          <w:szCs w:val="28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f8660e"/>
          <w:sz w:val="48"/>
          <w:szCs w:val="48"/>
          <w:shd w:fill="auto" w:val="clear"/>
          <w:rtl w:val="0"/>
        </w:rPr>
        <w:t xml:space="preserve">♥</w:t>
      </w:r>
      <w:r w:rsidDel="00000000" w:rsidR="00000000" w:rsidRPr="00000000">
        <w:rPr>
          <w:b w:val="1"/>
          <w:shd w:fill="auto" w:val="clear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ffffff"/>
          <w:sz w:val="28"/>
          <w:szCs w:val="28"/>
          <w:shd w:fill="auto" w:val="clear"/>
          <w:rtl w:val="0"/>
        </w:rPr>
        <w:t xml:space="preserve">VBAC info for Planned Home Birth with a California Licensed Midwife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ffffff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88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488.000000000001"/>
        <w:tblGridChange w:id="0">
          <w:tblGrid>
            <w:gridCol w:w="7488.000000000001"/>
          </w:tblGrid>
        </w:tblGridChange>
      </w:tblGrid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auto" w:val="clear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Article 3.5, Section 1379.19; (b) Licensed Midwifery Practice Act of 1993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hd w:fill="auto" w:val="clear"/>
                <w:rtl w:val="0"/>
              </w:rPr>
              <w:t xml:space="preserve">Medical Board of California ~ Standard of Care Regulations pertaining to VBAC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hd w:fill="auto" w:val="clear"/>
                <w:rtl w:val="0"/>
              </w:rPr>
              <w:t xml:space="preserve">as adopted by the Office of Administrative Law (OAL) ~ March 2006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"With respect to the care of a client who has previously had a caesarean section ("C-section") but who meets the criteria set forth in the SCCLM [Standards of Care for California Licensed Midwives], the licensed </w:t>
            </w:r>
            <w:r w:rsidDel="00000000" w:rsidR="00000000" w:rsidRPr="00000000">
              <w:rPr>
                <w:rFonts w:ascii="Arial" w:cs="Arial" w:eastAsia="Arial" w:hAnsi="Arial"/>
                <w:u w:val="single"/>
                <w:shd w:fill="auto" w:val="clear"/>
                <w:rtl w:val="0"/>
              </w:rPr>
              <w:t xml:space="preserve">midwife shall provide the client with written informed consent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 (and document that written consent in the client's midwifery record) that </w:t>
            </w:r>
            <w:r w:rsidDel="00000000" w:rsidR="00000000" w:rsidRPr="00000000">
              <w:rPr>
                <w:rFonts w:ascii="Arial" w:cs="Arial" w:eastAsia="Arial" w:hAnsi="Arial"/>
                <w:u w:val="single"/>
                <w:shd w:fill="auto" w:val="clear"/>
                <w:rtl w:val="0"/>
              </w:rPr>
              <w:t xml:space="preserve">includes but is not limited to all of the following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(1) The current statement by the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American College of Obstetricians and Gynecologists regarding its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Arial" w:cs="Arial" w:eastAsia="Arial" w:hAnsi="Arial"/>
                  <w:color w:val="0000ee"/>
                  <w:u w:val="single"/>
                  <w:shd w:fill="auto" w:val="clear"/>
                  <w:rtl w:val="0"/>
                </w:rPr>
                <w:t xml:space="preserve">recommendations for </w:t>
              </w:r>
            </w:hyperlink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ee"/>
                  <w:u w:val="single"/>
                  <w:shd w:fill="auto" w:val="clear"/>
                  <w:rtl w:val="0"/>
                </w:rPr>
                <w:t xml:space="preserve"> vaginal birth after caesarean 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("VBAC").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(2) A description of the licensed midwife's level of clinical experience and history with VBACs and any advanced training or education in the clinical management of VBACs.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(3) A list of educational materials provided to the client.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(4) The client's agreement to: provide a copy of the dictated operative report regarding the prior C-section; permit to increased monitoring; and, upon request of the midwife, transfer to a hospital at any time or if the labor does not unfold in a normal manner.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(5) A detailed description of the material risks and benefits of VBAC and elective repeat C-section.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NOTE: Authority cited: Section 2018 and 2507, Business  and Professions Code. Reference: Section 2507, B&amp;P Code</w:t>
            </w:r>
          </w:p>
        </w:tc>
      </w:tr>
      <w:t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f8660e"/>
                <w:sz w:val="48"/>
                <w:szCs w:val="48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8660e"/>
                <w:sz w:val="48"/>
                <w:szCs w:val="48"/>
                <w:shd w:fill="auto" w:val="clear"/>
                <w:rtl w:val="0"/>
              </w:rPr>
              <w:t xml:space="preserve">♥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28"/>
                <w:szCs w:val="28"/>
                <w:shd w:fill="auto" w:val="clear"/>
                <w:rtl w:val="0"/>
              </w:rPr>
              <w:t xml:space="preserve">VBAC Reading List for Post-Cesarean pregnancy / PHB  </w:t>
            </w:r>
            <w:r w:rsidDel="00000000" w:rsidR="00000000" w:rsidRPr="00000000">
              <w:rPr>
                <w:rFonts w:ascii="Arial" w:cs="Arial" w:eastAsia="Arial" w:hAnsi="Arial"/>
                <w:color w:val="f8660e"/>
                <w:sz w:val="48"/>
                <w:szCs w:val="48"/>
                <w:shd w:fill="auto" w:val="clear"/>
                <w:rtl w:val="0"/>
              </w:rPr>
              <w:t xml:space="preserve">♥</w:t>
            </w:r>
          </w:p>
        </w:tc>
      </w:tr>
      <w:t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f8660e"/>
                <w:sz w:val="48"/>
                <w:szCs w:val="4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The three most important documents are marked with asterisks, the rest are just for your information.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California LMs </w:t>
            </w:r>
            <w:r w:rsidDel="00000000" w:rsidR="00000000" w:rsidRPr="00000000">
              <w:rPr>
                <w:b w:val="1"/>
                <w:sz w:val="28"/>
                <w:szCs w:val="28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are invited to use the following documents to provide VBAC clients with the information required by Article 3.5, Section 1379:19. Each document from Childbirth Connections includes a universal (blank) Informed Consent form at the end. Just print the last page of each one for client's chart.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28"/>
                <w:szCs w:val="28"/>
                <w:shd w:fill="auto" w:val="clear"/>
                <w:rtl w:val="0"/>
              </w:rPr>
              <w:t xml:space="preserve">*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ACOG�s policy �Vaginal Birth After Cesarean Delivery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sz w:val="28"/>
                <w:szCs w:val="28"/>
                <w:shd w:fill="auto" w:val="clear"/>
                <w:rtl w:val="0"/>
              </w:rPr>
              <w:t xml:space="preserve">�</w:t>
            </w: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Practice Bulletin No. 5, published July 1999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Edition #1 / Printed August 2006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lineRule="auto"/>
              <w:jc w:val="center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333333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28"/>
                <w:szCs w:val="28"/>
                <w:shd w:fill="auto" w:val="clear"/>
                <w:rtl w:val="0"/>
              </w:rPr>
              <w:t xml:space="preserve">**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Informed Decision Making, Informed Consent or Refusal</w:t>
              </w:r>
            </w:hyperlink>
            <w:hyperlink r:id="rId13">
              <w:r w:rsidDel="00000000" w:rsidR="00000000" w:rsidRPr="00000000">
                <w:rPr>
                  <w:b w:val="1"/>
                  <w:color w:val="0000ee"/>
                  <w:u w:val="single"/>
                  <w:shd w:fill="auto" w:val="clear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Copyright � 2006 Childbirth Connection., updated 3/10/2006  ~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lineRule="auto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                                          Blank Informed Consent form for Cal. Section 1379.19 on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hd w:fill="auto" w:val="clear"/>
                <w:rtl w:val="0"/>
              </w:rPr>
              <w:t xml:space="preserve">page 5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ee"/>
                <w:sz w:val="28"/>
                <w:szCs w:val="28"/>
                <w:u w:val="singl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28"/>
                <w:szCs w:val="28"/>
                <w:shd w:fill="auto" w:val="clear"/>
                <w:rtl w:val="0"/>
              </w:rPr>
              <w:t xml:space="preserve">***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Options: VBAC or Repeat C-Section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333333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Copyright � 2006 Childbirth Connection. updated: 4/5/2006 --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hd w:fill="auto" w:val="clear"/>
                <w:rtl w:val="0"/>
              </w:rPr>
              <w:t xml:space="preserve">                                           Blank Informed Consent form for Cal. Section 1379.19 on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hd w:fill="auto" w:val="clear"/>
                <w:rtl w:val="0"/>
              </w:rPr>
              <w:t xml:space="preserve">page 9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333333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0000ee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shd w:fill="auto" w:val="clear"/>
                <w:rtl w:val="0"/>
              </w:rPr>
              <w:t xml:space="preserve">FYI:</w:t>
            </w:r>
            <w:r w:rsidDel="00000000" w:rsidR="00000000" w:rsidRPr="00000000">
              <w:rPr>
                <w:sz w:val="36"/>
                <w:szCs w:val="36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The Rights of Women Seeking Vaginal Birth After Cesarean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(VBAC):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shd w:fill="auto" w:val="clear"/>
                <w:rtl w:val="0"/>
              </w:rPr>
              <w:t xml:space="preserve">A Primer;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written by Katherine Prown, Ph.D.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000ee"/>
                  <w:u w:val="single"/>
                  <w:shd w:fill="auto" w:val="clear"/>
                  <w:rtl w:val="0"/>
                </w:rPr>
                <w:t xml:space="preserve">www.ican-online.org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0000ee"/>
                <w:u w:val="single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000000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shd w:fill="auto" w:val="clear"/>
                <w:rtl w:val="0"/>
              </w:rPr>
              <w:t xml:space="preserve">FYI:</w:t>
            </w:r>
            <w:r w:rsidDel="00000000" w:rsidR="00000000" w:rsidRPr="00000000">
              <w:rPr>
                <w:sz w:val="36"/>
                <w:szCs w:val="36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VBAC  ~ History, Economics, Hospital Staffing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�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Dr Ronald Cyr_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hd w:fill="auto" w:val="clear"/>
                <w:rtl w:val="0"/>
              </w:rPr>
              <w:t xml:space="preserve">American Journal of Obstetrics and Gynecology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rtl w:val="0"/>
              </w:rPr>
              <w:t xml:space="preserve">Sept 2002 (Volume 187, Number 3)</w:t>
            </w:r>
          </w:p>
          <w:p w:rsidR="00000000" w:rsidDel="00000000" w:rsidP="00000000" w:rsidRDefault="00000000" w:rsidRPr="00000000" w14:paraId="00000026">
            <w:pPr>
              <w:pStyle w:val="Heading2"/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ff0000"/>
                <w:sz w:val="36"/>
                <w:szCs w:val="36"/>
                <w:shd w:fill="auto" w:val="clear"/>
                <w:rtl w:val="0"/>
              </w:rPr>
              <w:t xml:space="preserve">FYI: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6"/>
                <w:szCs w:val="36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28"/>
                <w:szCs w:val="28"/>
                <w:shd w:fill="auto" w:val="clear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Not safer and not cheaper?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4"/>
                <w:szCs w:val="24"/>
                <w:shd w:fill="auto" w:val="clear"/>
                <w:rtl w:val="0"/>
              </w:rPr>
              <w:t xml:space="preserve">  Letter to the Editor, rebutting the idea that elective Cesarean is safer &amp; cheaper: Michael Klein, MD Centre for Community Child Health Research, BC Child and Family Research, Institute, Vancouver, BC // CMAJ � November 7, 2006; 175 (10) � 2006 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00d7d7"/>
                <w:sz w:val="36"/>
                <w:szCs w:val="36"/>
                <w:shd w:fill="auto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b w:val="1"/>
                <w:color w:val="00d7d7"/>
                <w:sz w:val="36"/>
                <w:szCs w:val="36"/>
                <w:shd w:fill="auto" w:val="clear"/>
                <w:rtl w:val="0"/>
              </w:rPr>
              <w:t xml:space="preserve">FYI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shd w:fill="auto" w:val="clear"/>
              </w:rPr>
            </w:pPr>
            <w:hyperlink r:id="rId19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shd w:fill="auto" w:val="clear"/>
                  <w:rtl w:val="0"/>
                </w:rPr>
                <w:t xml:space="preserve">California College of Midwives: Full Version Standard of Care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hd w:fill="auto" w:val="clear"/>
                <w:rtl w:val="0"/>
              </w:rPr>
              <w:t xml:space="preserve">~ 54 page edition, </w:t>
            </w:r>
            <w:r w:rsidDel="00000000" w:rsidR="00000000" w:rsidRPr="00000000">
              <w:rPr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hd w:fill="auto" w:val="clear"/>
                <w:rtl w:val="0"/>
              </w:rPr>
              <w:t xml:space="preserve"> compatible with MBC's  regulatory version  (14 pages)  as approved by OAL ~ March 2006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  <w:rtl w:val="0"/>
              </w:rPr>
              <w:t xml:space="preserve">Click the Pic to return to Home Page for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  <w:rtl w:val="0"/>
              </w:rPr>
              <w:t xml:space="preserve">      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8080"/>
                <w:sz w:val="24"/>
                <w:szCs w:val="24"/>
                <w:shd w:fill="auto" w:val="clear"/>
                <w:rtl w:val="0"/>
              </w:rPr>
              <w:t xml:space="preserve">        the American College of Community Midwives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808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://www.acog.org/acog_districts/dist9/pb054.pdf" TargetMode="External"/><Relationship Id="rId10" Type="http://schemas.openxmlformats.org/officeDocument/2006/relationships/hyperlink" Target="http://docs.google.com/VBAC_2006/ACOG_Bulletin5_VBAC-policy_2004.html" TargetMode="External"/><Relationship Id="rId13" Type="http://schemas.openxmlformats.org/officeDocument/2006/relationships/hyperlink" Target="http://docs.google.com/VBAC_2006/ACOG_Bulletin.html#5_VBAC-policy_2004.pdf" TargetMode="External"/><Relationship Id="rId12" Type="http://schemas.openxmlformats.org/officeDocument/2006/relationships/hyperlink" Target="http://docs.google.com/VBAC_2006/InformedConsent_Refusal_ChildbirthConnect_06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cs.google.com/VBAC_2006/ACOG_Bulletin5_VBAC-policy_2004.html" TargetMode="External"/><Relationship Id="rId15" Type="http://schemas.openxmlformats.org/officeDocument/2006/relationships/hyperlink" Target="http://docs.google.com/VBAC_2006/ICAN_legalprimer_VBAC_07.pdf" TargetMode="External"/><Relationship Id="rId14" Type="http://schemas.openxmlformats.org/officeDocument/2006/relationships/hyperlink" Target="http://docs.google.com/VBAC_2006/VBAC-ECS_Info_ChbdConct_2006zz.pdf" TargetMode="External"/><Relationship Id="rId17" Type="http://schemas.openxmlformats.org/officeDocument/2006/relationships/hyperlink" Target="http://docs.google.com/VBAC_2006/DrCyr_VBAC-Economics_2002.pdf" TargetMode="External"/><Relationship Id="rId16" Type="http://schemas.openxmlformats.org/officeDocument/2006/relationships/hyperlink" Target="http://www.ican-online.org/" TargetMode="External"/><Relationship Id="rId5" Type="http://schemas.openxmlformats.org/officeDocument/2006/relationships/styles" Target="styles.xml"/><Relationship Id="rId19" Type="http://schemas.openxmlformats.org/officeDocument/2006/relationships/hyperlink" Target="http://docs.google.com/VBAC_2006/CCC_Standards_%20FullVersion_%20Mar06.pdf" TargetMode="External"/><Relationship Id="rId6" Type="http://schemas.openxmlformats.org/officeDocument/2006/relationships/image" Target="media/image1.png"/><Relationship Id="rId18" Type="http://schemas.openxmlformats.org/officeDocument/2006/relationships/hyperlink" Target="http://docs.google.com/VBAC_2006/CMAJ_NotSaferNotCheaper_06.pdf" TargetMode="External"/><Relationship Id="rId7" Type="http://schemas.openxmlformats.org/officeDocument/2006/relationships/hyperlink" Target="http://docs.google.com/VBAC_2006/ACOG_Bulletin5_VBAC-policy_2004.html" TargetMode="External"/><Relationship Id="rId8" Type="http://schemas.openxmlformats.org/officeDocument/2006/relationships/hyperlink" Target="http://docs.google.com/VBAC_2006/ACOG_Bulletin5_VBAC-policy_2004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